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5B" w:rsidRDefault="0076735B" w:rsidP="0076735B">
      <w:pPr>
        <w:contextualSpacing/>
        <w:jc w:val="center"/>
        <w:rPr>
          <w:rFonts w:ascii="Cambria" w:hAnsi="Cambria"/>
          <w:b/>
          <w:sz w:val="28"/>
        </w:rPr>
      </w:pPr>
      <w:r w:rsidRPr="00640C42">
        <w:rPr>
          <w:rFonts w:ascii="Cambria" w:hAnsi="Cambria"/>
          <w:b/>
          <w:sz w:val="28"/>
          <w:lang w:val="vi-VN"/>
        </w:rPr>
        <w:t>NGHIÊN CỨU ĐỘC TÍNH CẤP</w:t>
      </w:r>
      <w:r w:rsidRPr="00640C42">
        <w:rPr>
          <w:rFonts w:ascii="Cambria" w:hAnsi="Cambria"/>
          <w:b/>
          <w:sz w:val="28"/>
        </w:rPr>
        <w:t xml:space="preserve"> VÀ ẢNH HƯỞNG</w:t>
      </w:r>
    </w:p>
    <w:p w:rsidR="0076735B" w:rsidRDefault="0076735B" w:rsidP="0076735B">
      <w:pPr>
        <w:contextualSpacing/>
        <w:jc w:val="center"/>
        <w:rPr>
          <w:rFonts w:ascii="Cambria" w:hAnsi="Cambria"/>
          <w:b/>
          <w:sz w:val="28"/>
        </w:rPr>
      </w:pPr>
      <w:r w:rsidRPr="00640C42">
        <w:rPr>
          <w:rFonts w:ascii="Cambria" w:hAnsi="Cambria"/>
          <w:b/>
          <w:sz w:val="28"/>
        </w:rPr>
        <w:t>CỦA</w:t>
      </w:r>
      <w:r w:rsidRPr="00640C42">
        <w:rPr>
          <w:rFonts w:ascii="Cambria" w:hAnsi="Cambria"/>
          <w:b/>
          <w:sz w:val="28"/>
          <w:lang w:val="vi-VN"/>
        </w:rPr>
        <w:t xml:space="preserve"> THUỐC GĐU-103</w:t>
      </w:r>
      <w:r w:rsidRPr="00640C42">
        <w:rPr>
          <w:rFonts w:ascii="Cambria" w:hAnsi="Cambria"/>
          <w:b/>
          <w:sz w:val="28"/>
        </w:rPr>
        <w:t xml:space="preserve"> ĐỐI VỚI CÁC CHỈ SỐ</w:t>
      </w:r>
    </w:p>
    <w:p w:rsidR="0076735B" w:rsidRPr="00640C42" w:rsidRDefault="0076735B" w:rsidP="0076735B">
      <w:pPr>
        <w:contextualSpacing/>
        <w:jc w:val="center"/>
        <w:rPr>
          <w:rFonts w:ascii="Cambria" w:hAnsi="Cambria"/>
          <w:b/>
          <w:sz w:val="28"/>
        </w:rPr>
      </w:pPr>
      <w:r w:rsidRPr="00640C42">
        <w:rPr>
          <w:rFonts w:ascii="Cambria" w:hAnsi="Cambria"/>
          <w:b/>
          <w:sz w:val="28"/>
        </w:rPr>
        <w:t>HUYẾT HỌC, MẠCH, HUYẾT ÁP</w:t>
      </w:r>
      <w:r w:rsidRPr="00640C42">
        <w:rPr>
          <w:rFonts w:ascii="Cambria" w:hAnsi="Cambria"/>
          <w:b/>
          <w:sz w:val="28"/>
          <w:lang w:val="vi-VN"/>
        </w:rPr>
        <w:t xml:space="preserve"> TRÊN</w:t>
      </w:r>
      <w:r w:rsidRPr="00640C42">
        <w:rPr>
          <w:rFonts w:ascii="Cambria" w:hAnsi="Cambria"/>
          <w:b/>
          <w:sz w:val="28"/>
        </w:rPr>
        <w:t xml:space="preserve"> </w:t>
      </w:r>
      <w:r w:rsidRPr="00640C42">
        <w:rPr>
          <w:rFonts w:ascii="Cambria" w:hAnsi="Cambria"/>
          <w:b/>
          <w:sz w:val="28"/>
          <w:lang w:val="vi-VN"/>
        </w:rPr>
        <w:t>THỰC NGHIỆM</w:t>
      </w:r>
    </w:p>
    <w:p w:rsidR="0076735B" w:rsidRDefault="0076735B" w:rsidP="0076735B">
      <w:pPr>
        <w:contextualSpacing/>
        <w:jc w:val="both"/>
        <w:rPr>
          <w:b/>
        </w:rPr>
      </w:pPr>
      <w:r w:rsidRPr="00A0130B">
        <w:rPr>
          <w:b/>
        </w:rPr>
        <w:tab/>
      </w:r>
      <w:r w:rsidRPr="00A0130B">
        <w:rPr>
          <w:b/>
        </w:rPr>
        <w:tab/>
      </w:r>
      <w:r w:rsidRPr="00A0130B">
        <w:rPr>
          <w:b/>
        </w:rPr>
        <w:tab/>
        <w:t xml:space="preserve">                                            </w:t>
      </w:r>
    </w:p>
    <w:p w:rsidR="0076735B" w:rsidRPr="00AF3859" w:rsidRDefault="0076735B" w:rsidP="0076735B">
      <w:pPr>
        <w:contextualSpacing/>
        <w:jc w:val="right"/>
        <w:rPr>
          <w:rFonts w:ascii="Times New Roman" w:hAnsi="Times New Roman"/>
          <w:b/>
        </w:rPr>
      </w:pPr>
      <w:r w:rsidRPr="00A0130B">
        <w:t xml:space="preserve"> </w:t>
      </w:r>
      <w:r w:rsidRPr="00AF3859">
        <w:rPr>
          <w:rFonts w:ascii="Times New Roman" w:hAnsi="Times New Roman"/>
          <w:b/>
        </w:rPr>
        <w:t>Nguyễn Hoàng Thanh*</w:t>
      </w:r>
      <w:r>
        <w:rPr>
          <w:rFonts w:ascii="Times New Roman" w:hAnsi="Times New Roman"/>
          <w:b/>
        </w:rPr>
        <w:t xml:space="preserve">, </w:t>
      </w:r>
      <w:r w:rsidRPr="00AF3859">
        <w:rPr>
          <w:rFonts w:ascii="Times New Roman" w:hAnsi="Times New Roman"/>
          <w:b/>
        </w:rPr>
        <w:t>Nguyễn Bá Vượng*</w:t>
      </w:r>
    </w:p>
    <w:p w:rsidR="0076735B" w:rsidRDefault="0076735B" w:rsidP="0076735B">
      <w:pPr>
        <w:contextualSpacing/>
        <w:jc w:val="both"/>
        <w:rPr>
          <w:rFonts w:ascii="Calibri" w:hAnsi="Calibri"/>
          <w:b/>
        </w:rPr>
      </w:pPr>
    </w:p>
    <w:p w:rsidR="0076735B" w:rsidRPr="0076735B" w:rsidRDefault="0076735B" w:rsidP="0076735B">
      <w:pPr>
        <w:contextualSpacing/>
        <w:jc w:val="both"/>
        <w:rPr>
          <w:rFonts w:ascii="Calibri" w:hAnsi="Calibri"/>
          <w:b/>
          <w:sz w:val="26"/>
          <w:szCs w:val="26"/>
        </w:rPr>
      </w:pPr>
      <w:r w:rsidRPr="0076735B">
        <w:rPr>
          <w:rFonts w:ascii="Calibri" w:hAnsi="Calibri"/>
          <w:b/>
          <w:sz w:val="26"/>
          <w:szCs w:val="26"/>
        </w:rPr>
        <w:t>TÓM TẮT</w:t>
      </w:r>
      <w:r w:rsidRPr="0076735B">
        <w:rPr>
          <w:rStyle w:val="FootnoteReference"/>
          <w:rFonts w:ascii="Calibri" w:hAnsi="Calibri"/>
          <w:b/>
          <w:sz w:val="26"/>
          <w:szCs w:val="26"/>
        </w:rPr>
        <w:footnoteReference w:id="1"/>
      </w:r>
    </w:p>
    <w:p w:rsidR="0076735B" w:rsidRPr="0076735B" w:rsidRDefault="0076735B" w:rsidP="0076735B">
      <w:pPr>
        <w:ind w:firstLine="360"/>
        <w:contextualSpacing/>
        <w:jc w:val="both"/>
        <w:rPr>
          <w:sz w:val="26"/>
          <w:szCs w:val="26"/>
        </w:rPr>
      </w:pPr>
      <w:r w:rsidRPr="0076735B">
        <w:rPr>
          <w:sz w:val="26"/>
          <w:szCs w:val="26"/>
        </w:rPr>
        <w:t>Thuốc “GĐU-103” là dịch chiết của bài thuốc “bổ trung ích khí thang” gia giảm gồm 16 vị, đều là những vị thuốc thường dùng, đạt tiêu chuẩn dược điển Việt Nam IV. Nghiên cứu trên động vật thực nghiệm cho thấy:</w:t>
      </w:r>
    </w:p>
    <w:p w:rsidR="0076735B" w:rsidRPr="0076735B" w:rsidRDefault="0076735B" w:rsidP="0076735B">
      <w:pPr>
        <w:contextualSpacing/>
        <w:jc w:val="both"/>
        <w:rPr>
          <w:bCs/>
          <w:sz w:val="26"/>
          <w:szCs w:val="26"/>
        </w:rPr>
      </w:pPr>
      <w:r w:rsidRPr="0076735B">
        <w:rPr>
          <w:i/>
          <w:sz w:val="26"/>
          <w:szCs w:val="26"/>
        </w:rPr>
        <w:t>-</w:t>
      </w:r>
      <w:r w:rsidRPr="0076735B">
        <w:rPr>
          <w:bCs/>
          <w:sz w:val="26"/>
          <w:szCs w:val="26"/>
        </w:rPr>
        <w:t xml:space="preserve"> Chưa </w:t>
      </w:r>
      <w:r w:rsidRPr="0076735B">
        <w:rPr>
          <w:sz w:val="26"/>
          <w:szCs w:val="26"/>
          <w:lang w:val="vi-VN"/>
        </w:rPr>
        <w:t>xác định được độc tính cấp LD</w:t>
      </w:r>
      <w:r w:rsidRPr="0076735B">
        <w:rPr>
          <w:sz w:val="26"/>
          <w:szCs w:val="26"/>
          <w:vertAlign w:val="subscript"/>
          <w:lang w:val="vi-VN"/>
        </w:rPr>
        <w:t xml:space="preserve">50 </w:t>
      </w:r>
      <w:r w:rsidRPr="0076735B">
        <w:rPr>
          <w:sz w:val="26"/>
          <w:szCs w:val="26"/>
          <w:lang w:val="vi-VN"/>
        </w:rPr>
        <w:t>của thuốc</w:t>
      </w:r>
      <w:r w:rsidRPr="0076735B">
        <w:rPr>
          <w:sz w:val="26"/>
          <w:szCs w:val="26"/>
        </w:rPr>
        <w:t xml:space="preserve"> trên chuột nhắt </w:t>
      </w:r>
      <w:r w:rsidRPr="0076735B">
        <w:rPr>
          <w:sz w:val="26"/>
          <w:szCs w:val="26"/>
          <w:lang w:val="vi-VN"/>
        </w:rPr>
        <w:t>với liều 200g/kg thể trọng</w:t>
      </w:r>
      <w:r w:rsidRPr="0076735B">
        <w:rPr>
          <w:sz w:val="26"/>
          <w:szCs w:val="26"/>
        </w:rPr>
        <w:t>; và thuốc không gây chết</w:t>
      </w:r>
      <w:r w:rsidRPr="0076735B">
        <w:rPr>
          <w:sz w:val="26"/>
          <w:szCs w:val="26"/>
          <w:lang w:val="vi-VN"/>
        </w:rPr>
        <w:t xml:space="preserve"> </w:t>
      </w:r>
      <w:r w:rsidRPr="0076735B">
        <w:rPr>
          <w:sz w:val="26"/>
          <w:szCs w:val="26"/>
        </w:rPr>
        <w:t xml:space="preserve">chuột khi dùng với liều </w:t>
      </w:r>
      <w:r w:rsidRPr="0076735B">
        <w:rPr>
          <w:sz w:val="26"/>
          <w:szCs w:val="26"/>
          <w:lang w:val="vi-VN"/>
        </w:rPr>
        <w:t>60g/kg</w:t>
      </w:r>
      <w:r w:rsidRPr="0076735B">
        <w:rPr>
          <w:sz w:val="26"/>
          <w:szCs w:val="26"/>
        </w:rPr>
        <w:t xml:space="preserve"> thể trọng trong 45 ngày;</w:t>
      </w:r>
    </w:p>
    <w:p w:rsidR="0076735B" w:rsidRPr="0076735B" w:rsidRDefault="0076735B" w:rsidP="0076735B">
      <w:pPr>
        <w:contextualSpacing/>
        <w:jc w:val="both"/>
        <w:rPr>
          <w:sz w:val="26"/>
          <w:szCs w:val="26"/>
          <w:lang w:val="vi-VN"/>
        </w:rPr>
      </w:pPr>
      <w:r w:rsidRPr="0076735B">
        <w:rPr>
          <w:sz w:val="26"/>
          <w:szCs w:val="26"/>
          <w:lang w:val="vi-VN"/>
        </w:rPr>
        <w:t xml:space="preserve"> - </w:t>
      </w:r>
      <w:r w:rsidRPr="0076735B">
        <w:rPr>
          <w:sz w:val="26"/>
          <w:szCs w:val="26"/>
        </w:rPr>
        <w:t xml:space="preserve">Trên thỏ khi dùng thuốc GĐU-103 với liều </w:t>
      </w:r>
      <w:r w:rsidRPr="0076735B">
        <w:rPr>
          <w:sz w:val="26"/>
          <w:szCs w:val="26"/>
          <w:lang w:val="vi-VN"/>
        </w:rPr>
        <w:t xml:space="preserve">15g/kg ngày trong 45 ngày liền, </w:t>
      </w:r>
      <w:r w:rsidRPr="0076735B">
        <w:rPr>
          <w:sz w:val="26"/>
          <w:szCs w:val="26"/>
        </w:rPr>
        <w:t xml:space="preserve">sự </w:t>
      </w:r>
      <w:r w:rsidRPr="0076735B">
        <w:rPr>
          <w:sz w:val="26"/>
          <w:szCs w:val="26"/>
          <w:lang w:val="vi-VN"/>
        </w:rPr>
        <w:t>thay đổi một số chỉ tiêu về huyết học so với nhóm chứng</w:t>
      </w:r>
      <w:r w:rsidRPr="0076735B">
        <w:rPr>
          <w:sz w:val="26"/>
          <w:szCs w:val="26"/>
        </w:rPr>
        <w:t xml:space="preserve"> không có ý nghĩa</w:t>
      </w:r>
      <w:r w:rsidRPr="0076735B">
        <w:rPr>
          <w:sz w:val="26"/>
          <w:szCs w:val="26"/>
          <w:lang w:val="vi-VN"/>
        </w:rPr>
        <w:t>, với p</w:t>
      </w:r>
      <w:r w:rsidRPr="0076735B">
        <w:rPr>
          <w:sz w:val="26"/>
          <w:szCs w:val="26"/>
        </w:rPr>
        <w:t>&gt;</w:t>
      </w:r>
      <w:r w:rsidRPr="0076735B">
        <w:rPr>
          <w:sz w:val="26"/>
          <w:szCs w:val="26"/>
          <w:lang w:val="vi-VN"/>
        </w:rPr>
        <w:t>0,05.</w:t>
      </w:r>
    </w:p>
    <w:p w:rsidR="0076735B" w:rsidRPr="0076735B" w:rsidRDefault="0076735B" w:rsidP="0076735B">
      <w:pPr>
        <w:contextualSpacing/>
        <w:jc w:val="both"/>
        <w:rPr>
          <w:sz w:val="26"/>
          <w:szCs w:val="26"/>
          <w:lang w:val="vi-VN"/>
        </w:rPr>
      </w:pPr>
      <w:r w:rsidRPr="0076735B">
        <w:rPr>
          <w:sz w:val="26"/>
          <w:szCs w:val="26"/>
          <w:lang w:val="vi-VN"/>
        </w:rPr>
        <w:t>- Thuốc GĐU-103 không làm thay đổi chỉ số về mạch, huyết áp trên chuột cống trắng khi dùng với liều 35g/kg thể trọng trong 45 ngày liên tục.</w:t>
      </w:r>
    </w:p>
    <w:p w:rsidR="0076735B" w:rsidRPr="0076735B" w:rsidRDefault="0076735B" w:rsidP="0076735B">
      <w:pPr>
        <w:ind w:firstLine="360"/>
        <w:contextualSpacing/>
        <w:jc w:val="both"/>
        <w:rPr>
          <w:sz w:val="26"/>
          <w:szCs w:val="26"/>
        </w:rPr>
      </w:pPr>
      <w:r w:rsidRPr="0076735B">
        <w:rPr>
          <w:b/>
          <w:i/>
          <w:sz w:val="26"/>
          <w:szCs w:val="26"/>
          <w:lang w:val="vi-VN"/>
        </w:rPr>
        <w:t>Từ khóa</w:t>
      </w:r>
      <w:r w:rsidRPr="0076735B">
        <w:rPr>
          <w:i/>
          <w:sz w:val="26"/>
          <w:szCs w:val="26"/>
          <w:lang w:val="vi-VN"/>
        </w:rPr>
        <w:t xml:space="preserve">: </w:t>
      </w:r>
      <w:r w:rsidRPr="0076735B">
        <w:rPr>
          <w:sz w:val="26"/>
          <w:szCs w:val="26"/>
          <w:lang w:val="vi-VN"/>
        </w:rPr>
        <w:t>GĐU-103, LD</w:t>
      </w:r>
      <w:r w:rsidRPr="0076735B">
        <w:rPr>
          <w:sz w:val="26"/>
          <w:szCs w:val="26"/>
          <w:vertAlign w:val="subscript"/>
          <w:lang w:val="vi-VN"/>
        </w:rPr>
        <w:t>50,</w:t>
      </w:r>
      <w:r w:rsidRPr="0076735B">
        <w:rPr>
          <w:sz w:val="26"/>
          <w:szCs w:val="26"/>
          <w:lang w:val="vi-VN"/>
        </w:rPr>
        <w:t xml:space="preserve"> bán trường diễn.</w:t>
      </w:r>
    </w:p>
    <w:p w:rsidR="0076735B" w:rsidRPr="0076735B" w:rsidRDefault="0076735B" w:rsidP="0076735B">
      <w:pPr>
        <w:contextualSpacing/>
        <w:jc w:val="both"/>
        <w:rPr>
          <w:rFonts w:ascii="Calibri" w:eastAsia="SimSun" w:hAnsi="Calibri"/>
          <w:b/>
          <w:bCs/>
          <w:sz w:val="26"/>
          <w:szCs w:val="26"/>
          <w:lang w:eastAsia="zh-CN"/>
        </w:rPr>
      </w:pPr>
    </w:p>
    <w:p w:rsidR="0076735B" w:rsidRPr="0076735B" w:rsidRDefault="0076735B" w:rsidP="0076735B">
      <w:pPr>
        <w:contextualSpacing/>
        <w:jc w:val="both"/>
        <w:rPr>
          <w:rFonts w:ascii="Calibri" w:hAnsi="Calibri"/>
          <w:i/>
          <w:sz w:val="26"/>
          <w:szCs w:val="26"/>
        </w:rPr>
      </w:pPr>
      <w:r w:rsidRPr="0076735B">
        <w:rPr>
          <w:rFonts w:ascii="Calibri" w:eastAsia="SimSun" w:hAnsi="Calibri"/>
          <w:b/>
          <w:bCs/>
          <w:sz w:val="26"/>
          <w:szCs w:val="26"/>
          <w:lang w:eastAsia="zh-CN"/>
        </w:rPr>
        <w:t>SUMMARY</w:t>
      </w:r>
    </w:p>
    <w:p w:rsidR="0076735B" w:rsidRPr="0076735B" w:rsidRDefault="0076735B" w:rsidP="0076735B">
      <w:pPr>
        <w:contextualSpacing/>
        <w:jc w:val="center"/>
        <w:rPr>
          <w:b/>
          <w:sz w:val="26"/>
          <w:szCs w:val="26"/>
        </w:rPr>
      </w:pPr>
      <w:r w:rsidRPr="0076735B">
        <w:rPr>
          <w:b/>
          <w:sz w:val="26"/>
          <w:szCs w:val="26"/>
        </w:rPr>
        <w:t>STUDY ACUTE TOXICITY  AND EFFECT OF DRUGS FOR GDU-103 WITH BLOOD, PULSE, BLOOD PRESSUSE  IN EXPERIMENT</w:t>
      </w:r>
    </w:p>
    <w:p w:rsidR="0076735B" w:rsidRPr="0076735B" w:rsidRDefault="0076735B" w:rsidP="0076735B">
      <w:pPr>
        <w:ind w:firstLine="360"/>
        <w:contextualSpacing/>
        <w:jc w:val="both"/>
        <w:rPr>
          <w:sz w:val="26"/>
          <w:szCs w:val="26"/>
          <w:lang w:val="vi-VN"/>
        </w:rPr>
      </w:pPr>
      <w:r w:rsidRPr="0076735B">
        <w:rPr>
          <w:sz w:val="26"/>
          <w:szCs w:val="26"/>
          <w:lang w:val="vi-VN"/>
        </w:rPr>
        <w:t xml:space="preserve">The drugs GDU-103 extracts of formula: “Bo trung ich khi thang” including 16 herbal medicines, are common herbs, acordning to pharmacopoeia standards Vietnam IV. Research on experimental animals showed: - Not determined LD50 acute toxicity of the drug in mice with doses of 200 g/kg of body weight; and non-lethal drug doses mouse when 60g/kg of body weight in 45 days; - On rabbit GDU-103 medication doses 15g/kg day for 45 days, change some hematological indicators compared with the control group no significant, with p&gt;0.05 - Drugs GDU-103 does not change the index of pulse, blood pressure in rats when administered in doses white 35g/kg of body weight for 45 consecutive days. Keywords: GĐU-103, LD50, subacute toxicity. </w:t>
      </w:r>
    </w:p>
    <w:p w:rsidR="008256DB" w:rsidRPr="0076735B" w:rsidRDefault="008256DB" w:rsidP="0076735B"/>
    <w:sectPr w:rsidR="008256DB" w:rsidRPr="007673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E0" w:rsidRDefault="000020E0" w:rsidP="00CC06EC">
      <w:r>
        <w:separator/>
      </w:r>
    </w:p>
  </w:endnote>
  <w:endnote w:type="continuationSeparator" w:id="0">
    <w:p w:rsidR="000020E0" w:rsidRDefault="000020E0" w:rsidP="00CC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E0" w:rsidRDefault="000020E0" w:rsidP="00CC06EC">
      <w:r>
        <w:separator/>
      </w:r>
    </w:p>
  </w:footnote>
  <w:footnote w:type="continuationSeparator" w:id="0">
    <w:p w:rsidR="000020E0" w:rsidRDefault="000020E0" w:rsidP="00CC06EC">
      <w:r>
        <w:continuationSeparator/>
      </w:r>
    </w:p>
  </w:footnote>
  <w:footnote w:id="1">
    <w:p w:rsidR="0076735B" w:rsidRPr="00DC2171" w:rsidRDefault="0076735B" w:rsidP="0076735B">
      <w:pPr>
        <w:contextualSpacing/>
        <w:jc w:val="both"/>
        <w:rPr>
          <w:rFonts w:ascii="Calibri" w:hAnsi="Calibri"/>
          <w:sz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27"/>
    <w:rsid w:val="000020E0"/>
    <w:rsid w:val="00217C8B"/>
    <w:rsid w:val="0076735B"/>
    <w:rsid w:val="008256DB"/>
    <w:rsid w:val="00996A27"/>
    <w:rsid w:val="00CC06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C2BC-A619-4E2D-9358-58B98F15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E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C06EC"/>
    <w:rPr>
      <w:vertAlign w:val="superscript"/>
    </w:rPr>
  </w:style>
  <w:style w:type="character" w:styleId="Hyperlink">
    <w:name w:val="Hyperlink"/>
    <w:rsid w:val="00767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2015-08-17T08:53:00Z</dcterms:created>
  <dcterms:modified xsi:type="dcterms:W3CDTF">2015-12-29T07:34:00Z</dcterms:modified>
</cp:coreProperties>
</file>