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C5" w:rsidRPr="00032A69" w:rsidRDefault="001C74C5" w:rsidP="001C74C5">
      <w:pPr>
        <w:contextualSpacing/>
        <w:jc w:val="center"/>
        <w:rPr>
          <w:rFonts w:ascii="Cambria" w:hAnsi="Cambria"/>
          <w:b/>
          <w:noProof/>
          <w:sz w:val="28"/>
        </w:rPr>
      </w:pPr>
      <w:r w:rsidRPr="00032A69">
        <w:rPr>
          <w:rFonts w:ascii="Cambria" w:hAnsi="Cambria"/>
          <w:b/>
          <w:noProof/>
          <w:sz w:val="28"/>
        </w:rPr>
        <w:t>NGHIÊN CỨU TÁC DỤNG CỦA LEVOBUPIVACAIN KẾT HỢP FENTANYL VÀ MORPHIN TRONG GÂY TÊ TỦY SỐNG</w:t>
      </w:r>
      <w:r w:rsidRPr="00032A69">
        <w:rPr>
          <w:rFonts w:ascii="Cambria" w:hAnsi="Cambria"/>
          <w:b/>
          <w:noProof/>
          <w:sz w:val="28"/>
          <w:lang w:val="vi-VN"/>
        </w:rPr>
        <w:t xml:space="preserve"> </w:t>
      </w:r>
      <w:r w:rsidRPr="00032A69">
        <w:rPr>
          <w:rFonts w:ascii="Cambria" w:hAnsi="Cambria"/>
          <w:b/>
          <w:noProof/>
          <w:sz w:val="28"/>
        </w:rPr>
        <w:t>CHO PHẪU THUẬT LẤY THAI</w:t>
      </w:r>
    </w:p>
    <w:p w:rsidR="001C74C5" w:rsidRPr="00A0130B" w:rsidRDefault="001C74C5" w:rsidP="001C74C5">
      <w:pPr>
        <w:contextualSpacing/>
        <w:jc w:val="both"/>
        <w:rPr>
          <w:b/>
          <w:noProof/>
        </w:rPr>
      </w:pPr>
    </w:p>
    <w:p w:rsidR="001C74C5" w:rsidRPr="00032A69" w:rsidRDefault="001C74C5" w:rsidP="001C74C5">
      <w:pPr>
        <w:contextualSpacing/>
        <w:jc w:val="right"/>
        <w:rPr>
          <w:rFonts w:ascii="Times New Roman" w:hAnsi="Times New Roman"/>
          <w:b/>
          <w:noProof/>
          <w:lang w:val="vi-VN"/>
        </w:rPr>
      </w:pPr>
      <w:r w:rsidRPr="00032A69">
        <w:rPr>
          <w:rFonts w:ascii="Times New Roman" w:hAnsi="Times New Roman"/>
          <w:b/>
          <w:lang w:val="vi-VN"/>
        </w:rPr>
        <w:t>Nguyễn Ngọc Thạch*,</w:t>
      </w:r>
      <w:r w:rsidRPr="00032A69">
        <w:rPr>
          <w:rFonts w:ascii="Times New Roman" w:hAnsi="Times New Roman"/>
          <w:b/>
          <w:noProof/>
        </w:rPr>
        <w:t xml:space="preserve"> Nguyễn Bình**</w:t>
      </w:r>
    </w:p>
    <w:p w:rsidR="001C74C5" w:rsidRDefault="001C74C5" w:rsidP="001C74C5">
      <w:pPr>
        <w:contextualSpacing/>
        <w:jc w:val="both"/>
        <w:rPr>
          <w:rFonts w:ascii="Calibri" w:hAnsi="Calibri"/>
          <w:b/>
          <w:noProof/>
        </w:rPr>
      </w:pPr>
    </w:p>
    <w:p w:rsidR="001C74C5" w:rsidRPr="001C74C5" w:rsidRDefault="001C74C5" w:rsidP="001C74C5">
      <w:pPr>
        <w:contextualSpacing/>
        <w:jc w:val="both"/>
        <w:rPr>
          <w:rFonts w:ascii="Calibri" w:hAnsi="Calibri"/>
          <w:b/>
          <w:noProof/>
          <w:sz w:val="24"/>
          <w:szCs w:val="24"/>
        </w:rPr>
      </w:pPr>
      <w:r w:rsidRPr="001C74C5">
        <w:rPr>
          <w:rFonts w:ascii="Calibri" w:hAnsi="Calibri"/>
          <w:b/>
          <w:noProof/>
          <w:sz w:val="24"/>
          <w:szCs w:val="24"/>
        </w:rPr>
        <w:t>TÓM TẮT</w:t>
      </w:r>
      <w:r w:rsidRPr="001C74C5">
        <w:rPr>
          <w:rStyle w:val="FootnoteReference"/>
          <w:rFonts w:ascii="Calibri" w:hAnsi="Calibri"/>
          <w:b/>
          <w:noProof/>
          <w:sz w:val="24"/>
          <w:szCs w:val="24"/>
        </w:rPr>
        <w:footnoteReference w:id="1"/>
      </w:r>
    </w:p>
    <w:p w:rsidR="001C74C5" w:rsidRPr="001C74C5" w:rsidRDefault="001C74C5" w:rsidP="001C74C5">
      <w:pPr>
        <w:ind w:firstLine="360"/>
        <w:contextualSpacing/>
        <w:jc w:val="both"/>
        <w:rPr>
          <w:noProof/>
          <w:sz w:val="24"/>
          <w:szCs w:val="24"/>
        </w:rPr>
      </w:pPr>
      <w:r w:rsidRPr="001C74C5">
        <w:rPr>
          <w:b/>
          <w:noProof/>
          <w:sz w:val="24"/>
          <w:szCs w:val="24"/>
        </w:rPr>
        <w:t>M</w:t>
      </w:r>
      <w:r w:rsidRPr="001C74C5">
        <w:rPr>
          <w:b/>
          <w:noProof/>
          <w:sz w:val="24"/>
          <w:szCs w:val="24"/>
          <w:lang w:val="vi-VN"/>
        </w:rPr>
        <w:t>ục tiêu</w:t>
      </w:r>
      <w:r w:rsidRPr="001C74C5">
        <w:rPr>
          <w:b/>
          <w:noProof/>
          <w:sz w:val="24"/>
          <w:szCs w:val="24"/>
        </w:rPr>
        <w:t xml:space="preserve"> nghiên cứu</w:t>
      </w:r>
      <w:r w:rsidRPr="001C74C5">
        <w:rPr>
          <w:b/>
          <w:noProof/>
          <w:sz w:val="24"/>
          <w:szCs w:val="24"/>
          <w:lang w:val="vi-VN"/>
        </w:rPr>
        <w:t>:</w:t>
      </w:r>
      <w:r w:rsidRPr="001C74C5">
        <w:rPr>
          <w:noProof/>
          <w:sz w:val="24"/>
          <w:szCs w:val="24"/>
        </w:rPr>
        <w:t xml:space="preserve"> </w:t>
      </w:r>
      <w:r w:rsidRPr="001C74C5">
        <w:rPr>
          <w:noProof/>
          <w:sz w:val="24"/>
          <w:szCs w:val="24"/>
          <w:lang w:val="vi-VN"/>
        </w:rPr>
        <w:t>Đánh gi</w:t>
      </w:r>
      <w:r w:rsidRPr="001C74C5">
        <w:rPr>
          <w:noProof/>
          <w:sz w:val="24"/>
          <w:szCs w:val="24"/>
        </w:rPr>
        <w:t>á tác dụng</w:t>
      </w:r>
      <w:r w:rsidRPr="001C74C5">
        <w:rPr>
          <w:noProof/>
          <w:sz w:val="24"/>
          <w:szCs w:val="24"/>
          <w:lang w:val="vi-VN"/>
        </w:rPr>
        <w:t xml:space="preserve"> vô cảm, ức chế vận động và giảm đau sau mổ của  levobupivacain </w:t>
      </w:r>
      <w:r w:rsidRPr="001C74C5">
        <w:rPr>
          <w:noProof/>
          <w:sz w:val="24"/>
          <w:szCs w:val="24"/>
        </w:rPr>
        <w:t xml:space="preserve">kết </w:t>
      </w:r>
      <w:r w:rsidRPr="001C74C5">
        <w:rPr>
          <w:noProof/>
          <w:sz w:val="24"/>
          <w:szCs w:val="24"/>
          <w:lang w:val="vi-VN"/>
        </w:rPr>
        <w:t>hợp với fentanyl và morphin tron</w:t>
      </w:r>
      <w:r w:rsidRPr="001C74C5">
        <w:rPr>
          <w:noProof/>
          <w:sz w:val="24"/>
          <w:szCs w:val="24"/>
        </w:rPr>
        <w:t>g gây tê tủy sống</w:t>
      </w:r>
      <w:r w:rsidRPr="001C74C5">
        <w:rPr>
          <w:noProof/>
          <w:sz w:val="24"/>
          <w:szCs w:val="24"/>
          <w:lang w:val="vi-VN"/>
        </w:rPr>
        <w:t xml:space="preserve"> </w:t>
      </w:r>
      <w:r w:rsidRPr="001C74C5">
        <w:rPr>
          <w:noProof/>
          <w:sz w:val="24"/>
          <w:szCs w:val="24"/>
        </w:rPr>
        <w:t>(GTTS) cho phẫu thuật  lấy thai (PTLT)</w:t>
      </w:r>
      <w:r w:rsidRPr="001C74C5">
        <w:rPr>
          <w:noProof/>
          <w:sz w:val="24"/>
          <w:szCs w:val="24"/>
          <w:lang w:val="vi-VN"/>
        </w:rPr>
        <w:t>.</w:t>
      </w:r>
      <w:r w:rsidRPr="001C74C5">
        <w:rPr>
          <w:noProof/>
          <w:sz w:val="24"/>
          <w:szCs w:val="24"/>
        </w:rPr>
        <w:t xml:space="preserve"> </w:t>
      </w:r>
    </w:p>
    <w:p w:rsidR="001C74C5" w:rsidRPr="001C74C5" w:rsidRDefault="001C74C5" w:rsidP="001C74C5">
      <w:pPr>
        <w:ind w:firstLine="360"/>
        <w:contextualSpacing/>
        <w:jc w:val="both"/>
        <w:rPr>
          <w:rFonts w:eastAsia="Courier New"/>
          <w:sz w:val="24"/>
          <w:szCs w:val="24"/>
          <w:lang w:eastAsia="vi-VN"/>
        </w:rPr>
      </w:pPr>
      <w:r w:rsidRPr="001C74C5">
        <w:rPr>
          <w:b/>
          <w:noProof/>
          <w:sz w:val="24"/>
          <w:szCs w:val="24"/>
        </w:rPr>
        <w:t>Đối tượng và phương pháp nghiên cứu:</w:t>
      </w:r>
      <w:r w:rsidRPr="001C74C5">
        <w:rPr>
          <w:noProof/>
          <w:sz w:val="24"/>
          <w:szCs w:val="24"/>
        </w:rPr>
        <w:t xml:space="preserve"> </w:t>
      </w:r>
      <w:r w:rsidRPr="001C74C5">
        <w:rPr>
          <w:rFonts w:eastAsia="Courier New"/>
          <w:sz w:val="24"/>
          <w:szCs w:val="24"/>
          <w:lang w:eastAsia="vi-VN"/>
        </w:rPr>
        <w:t>80</w:t>
      </w:r>
      <w:r w:rsidRPr="001C74C5">
        <w:rPr>
          <w:rFonts w:eastAsia="Courier New"/>
          <w:sz w:val="24"/>
          <w:szCs w:val="24"/>
          <w:lang w:val="vi-VN" w:eastAsia="vi-VN"/>
        </w:rPr>
        <w:t xml:space="preserve"> sản phụ</w:t>
      </w:r>
      <w:r w:rsidRPr="001C74C5">
        <w:rPr>
          <w:rFonts w:eastAsia="Courier New"/>
          <w:sz w:val="24"/>
          <w:szCs w:val="24"/>
          <w:lang w:eastAsia="vi-VN"/>
        </w:rPr>
        <w:t xml:space="preserve"> </w:t>
      </w:r>
      <w:r w:rsidRPr="001C74C5">
        <w:rPr>
          <w:rFonts w:eastAsia="Courier New"/>
          <w:sz w:val="24"/>
          <w:szCs w:val="24"/>
          <w:lang w:val="vi-VN" w:eastAsia="vi-VN"/>
        </w:rPr>
        <w:t xml:space="preserve">có chỉ định </w:t>
      </w:r>
      <w:r w:rsidRPr="001C74C5">
        <w:rPr>
          <w:rFonts w:eastAsia="Courier New"/>
          <w:sz w:val="24"/>
          <w:szCs w:val="24"/>
          <w:lang w:eastAsia="vi-VN"/>
        </w:rPr>
        <w:t xml:space="preserve">PTLT được vô cảm bằng GTTS và </w:t>
      </w:r>
      <w:r w:rsidRPr="001C74C5">
        <w:rPr>
          <w:sz w:val="24"/>
          <w:szCs w:val="24"/>
          <w:lang w:val="vi-VN"/>
        </w:rPr>
        <w:t>được chia thành 2 nhóm</w:t>
      </w:r>
      <w:r w:rsidRPr="001C74C5">
        <w:rPr>
          <w:sz w:val="24"/>
          <w:szCs w:val="24"/>
        </w:rPr>
        <w:t xml:space="preserve">: </w:t>
      </w:r>
      <w:r w:rsidRPr="001C74C5">
        <w:rPr>
          <w:rFonts w:eastAsia="Courier New"/>
          <w:sz w:val="24"/>
          <w:szCs w:val="24"/>
          <w:lang w:val="vi-VN" w:eastAsia="vi-VN"/>
        </w:rPr>
        <w:t>Nhóm I</w:t>
      </w:r>
      <w:r w:rsidRPr="001C74C5">
        <w:rPr>
          <w:rFonts w:eastAsia="Courier New"/>
          <w:sz w:val="24"/>
          <w:szCs w:val="24"/>
          <w:lang w:eastAsia="vi-VN"/>
        </w:rPr>
        <w:t xml:space="preserve"> (nhóm nghiên cứu n=40)</w:t>
      </w:r>
      <w:r w:rsidRPr="001C74C5">
        <w:rPr>
          <w:rFonts w:eastAsia="Courier New"/>
          <w:sz w:val="24"/>
          <w:szCs w:val="24"/>
          <w:lang w:val="vi-VN" w:eastAsia="vi-VN"/>
        </w:rPr>
        <w:t xml:space="preserve">: </w:t>
      </w:r>
      <w:r w:rsidRPr="001C74C5">
        <w:rPr>
          <w:rFonts w:eastAsia="Courier New"/>
          <w:sz w:val="24"/>
          <w:szCs w:val="24"/>
          <w:lang w:eastAsia="vi-VN"/>
        </w:rPr>
        <w:t>GTTS bằng l</w:t>
      </w:r>
      <w:r w:rsidRPr="001C74C5">
        <w:rPr>
          <w:rFonts w:eastAsia="Courier New"/>
          <w:sz w:val="24"/>
          <w:szCs w:val="24"/>
          <w:lang w:val="vi-VN" w:eastAsia="vi-VN"/>
        </w:rPr>
        <w:t>evob</w:t>
      </w:r>
      <w:r w:rsidRPr="001C74C5">
        <w:rPr>
          <w:rFonts w:eastAsia="Courier New"/>
          <w:sz w:val="24"/>
          <w:szCs w:val="24"/>
          <w:lang w:eastAsia="vi-VN"/>
        </w:rPr>
        <w:t>u</w:t>
      </w:r>
      <w:r w:rsidRPr="001C74C5">
        <w:rPr>
          <w:rFonts w:eastAsia="Courier New"/>
          <w:sz w:val="24"/>
          <w:szCs w:val="24"/>
          <w:lang w:val="vi-VN" w:eastAsia="vi-VN"/>
        </w:rPr>
        <w:t>pivacain</w:t>
      </w:r>
      <w:r w:rsidRPr="001C74C5">
        <w:rPr>
          <w:rFonts w:eastAsia="Courier New"/>
          <w:sz w:val="24"/>
          <w:szCs w:val="24"/>
          <w:lang w:eastAsia="vi-VN"/>
        </w:rPr>
        <w:t xml:space="preserve"> 9mg</w:t>
      </w:r>
      <w:r w:rsidRPr="001C74C5">
        <w:rPr>
          <w:rFonts w:eastAsia="Courier New"/>
          <w:sz w:val="24"/>
          <w:szCs w:val="24"/>
          <w:lang w:val="vi-VN" w:eastAsia="vi-VN"/>
        </w:rPr>
        <w:t xml:space="preserve">  kết hợp fentanyl</w:t>
      </w:r>
      <w:r w:rsidRPr="001C74C5">
        <w:rPr>
          <w:rFonts w:eastAsia="Courier New"/>
          <w:sz w:val="24"/>
          <w:szCs w:val="24"/>
          <w:lang w:eastAsia="vi-VN"/>
        </w:rPr>
        <w:t xml:space="preserve"> 20mcg và morphin 100mcg. </w:t>
      </w:r>
      <w:r w:rsidRPr="001C74C5">
        <w:rPr>
          <w:rFonts w:eastAsia="Courier New"/>
          <w:sz w:val="24"/>
          <w:szCs w:val="24"/>
          <w:lang w:val="vi-VN" w:eastAsia="vi-VN"/>
        </w:rPr>
        <w:t>Nhóm II</w:t>
      </w:r>
      <w:r w:rsidRPr="001C74C5">
        <w:rPr>
          <w:rFonts w:eastAsia="Courier New"/>
          <w:sz w:val="24"/>
          <w:szCs w:val="24"/>
          <w:lang w:eastAsia="vi-VN"/>
        </w:rPr>
        <w:t xml:space="preserve"> (nhóm chứng n=40)</w:t>
      </w:r>
      <w:r w:rsidRPr="001C74C5">
        <w:rPr>
          <w:rFonts w:eastAsia="Courier New"/>
          <w:sz w:val="24"/>
          <w:szCs w:val="24"/>
          <w:lang w:val="vi-VN" w:eastAsia="vi-VN"/>
        </w:rPr>
        <w:t>:</w:t>
      </w:r>
      <w:r w:rsidRPr="001C74C5">
        <w:rPr>
          <w:rFonts w:eastAsia="Courier New"/>
          <w:sz w:val="24"/>
          <w:szCs w:val="24"/>
          <w:lang w:eastAsia="vi-VN"/>
        </w:rPr>
        <w:t xml:space="preserve"> GTTS bằng l</w:t>
      </w:r>
      <w:r w:rsidRPr="001C74C5">
        <w:rPr>
          <w:rFonts w:eastAsia="Courier New"/>
          <w:sz w:val="24"/>
          <w:szCs w:val="24"/>
          <w:lang w:val="vi-VN" w:eastAsia="vi-VN"/>
        </w:rPr>
        <w:t>evob</w:t>
      </w:r>
      <w:r w:rsidRPr="001C74C5">
        <w:rPr>
          <w:rFonts w:eastAsia="Courier New"/>
          <w:sz w:val="24"/>
          <w:szCs w:val="24"/>
          <w:lang w:eastAsia="vi-VN"/>
        </w:rPr>
        <w:t>u</w:t>
      </w:r>
      <w:r w:rsidRPr="001C74C5">
        <w:rPr>
          <w:rFonts w:eastAsia="Courier New"/>
          <w:sz w:val="24"/>
          <w:szCs w:val="24"/>
          <w:lang w:val="vi-VN" w:eastAsia="vi-VN"/>
        </w:rPr>
        <w:t>pivacain</w:t>
      </w:r>
      <w:r w:rsidRPr="001C74C5">
        <w:rPr>
          <w:rFonts w:eastAsia="Courier New"/>
          <w:sz w:val="24"/>
          <w:szCs w:val="24"/>
          <w:lang w:eastAsia="vi-VN"/>
        </w:rPr>
        <w:t xml:space="preserve"> 9mg</w:t>
      </w:r>
      <w:r w:rsidRPr="001C74C5">
        <w:rPr>
          <w:rFonts w:eastAsia="Courier New"/>
          <w:sz w:val="24"/>
          <w:szCs w:val="24"/>
          <w:lang w:val="vi-VN" w:eastAsia="vi-VN"/>
        </w:rPr>
        <w:t xml:space="preserve">  kết hợp fentanyl</w:t>
      </w:r>
      <w:r w:rsidRPr="001C74C5">
        <w:rPr>
          <w:rFonts w:eastAsia="Courier New"/>
          <w:sz w:val="24"/>
          <w:szCs w:val="24"/>
          <w:lang w:eastAsia="vi-VN"/>
        </w:rPr>
        <w:t xml:space="preserve"> 20mcg. </w:t>
      </w:r>
    </w:p>
    <w:p w:rsidR="001C74C5" w:rsidRPr="001C74C5" w:rsidRDefault="001C74C5" w:rsidP="001C74C5">
      <w:pPr>
        <w:ind w:firstLine="360"/>
        <w:contextualSpacing/>
        <w:jc w:val="both"/>
        <w:rPr>
          <w:rFonts w:eastAsia="Courier New"/>
          <w:bCs/>
          <w:sz w:val="24"/>
          <w:szCs w:val="24"/>
        </w:rPr>
      </w:pPr>
      <w:r w:rsidRPr="001C74C5">
        <w:rPr>
          <w:rFonts w:eastAsia="Courier New"/>
          <w:b/>
          <w:sz w:val="24"/>
          <w:szCs w:val="24"/>
          <w:lang w:eastAsia="vi-VN"/>
        </w:rPr>
        <w:t>Kết quả:</w:t>
      </w:r>
      <w:r w:rsidRPr="001C74C5">
        <w:rPr>
          <w:rFonts w:eastAsia="Courier New"/>
          <w:sz w:val="24"/>
          <w:szCs w:val="24"/>
          <w:lang w:eastAsia="vi-VN"/>
        </w:rPr>
        <w:t xml:space="preserve"> </w:t>
      </w:r>
      <w:r w:rsidRPr="001C74C5">
        <w:rPr>
          <w:rFonts w:eastAsia="Courier New"/>
          <w:bCs/>
          <w:sz w:val="24"/>
          <w:szCs w:val="24"/>
        </w:rPr>
        <w:t xml:space="preserve">Thời gian tiềm tàng ức chế cảm giác đau ở mức T6, thời gian tiềm tàng ức chế vận động ở mức M1, thời gian phục hồi vận động và mức độ vô cảm tốt của nhóm I tương ứng là 5,2 ± 1,06phút; 1,77 ± 0,42phút; 112,87 ± 20,09phút và 100%. Nhóm I không phải sử dụng diclovat để giảm đau trong 24 giờ sau mổ trong khi nhóm chứng sử dụng 150 ± 50mg (p&lt;0,05). Thời gian giảm đau sau mổ ở nhóm I là 1280,5 ± 70,34phút dài hơn nhóm chứng (137,17 ± 23,01phút) (p&lt;0,05). </w:t>
      </w:r>
    </w:p>
    <w:p w:rsidR="001C74C5" w:rsidRPr="001C74C5" w:rsidRDefault="001C74C5" w:rsidP="001C74C5">
      <w:pPr>
        <w:ind w:firstLine="360"/>
        <w:contextualSpacing/>
        <w:jc w:val="both"/>
        <w:rPr>
          <w:noProof/>
          <w:sz w:val="24"/>
          <w:szCs w:val="24"/>
        </w:rPr>
      </w:pPr>
      <w:r w:rsidRPr="001C74C5">
        <w:rPr>
          <w:rFonts w:eastAsia="Courier New"/>
          <w:b/>
          <w:sz w:val="24"/>
          <w:szCs w:val="24"/>
          <w:lang w:eastAsia="vi-VN"/>
        </w:rPr>
        <w:t>Kết luận:</w:t>
      </w:r>
      <w:r w:rsidRPr="001C74C5">
        <w:rPr>
          <w:rFonts w:eastAsia="Courier New"/>
          <w:sz w:val="24"/>
          <w:szCs w:val="24"/>
          <w:lang w:eastAsia="vi-VN"/>
        </w:rPr>
        <w:t xml:space="preserve"> G</w:t>
      </w:r>
      <w:r w:rsidRPr="001C74C5">
        <w:rPr>
          <w:noProof/>
          <w:sz w:val="24"/>
          <w:szCs w:val="24"/>
        </w:rPr>
        <w:t xml:space="preserve">ây tê tủy sống bằng hỗn hợp </w:t>
      </w:r>
      <w:r w:rsidRPr="001C74C5">
        <w:rPr>
          <w:noProof/>
          <w:sz w:val="24"/>
          <w:szCs w:val="24"/>
          <w:lang w:val="vi-VN"/>
        </w:rPr>
        <w:t xml:space="preserve">levobupivacain </w:t>
      </w:r>
      <w:r w:rsidRPr="001C74C5">
        <w:rPr>
          <w:noProof/>
          <w:sz w:val="24"/>
          <w:szCs w:val="24"/>
        </w:rPr>
        <w:t xml:space="preserve">kết </w:t>
      </w:r>
      <w:r w:rsidRPr="001C74C5">
        <w:rPr>
          <w:noProof/>
          <w:sz w:val="24"/>
          <w:szCs w:val="24"/>
          <w:lang w:val="vi-VN"/>
        </w:rPr>
        <w:t>hợp với fentanyl và morphin</w:t>
      </w:r>
      <w:r w:rsidRPr="001C74C5">
        <w:rPr>
          <w:noProof/>
          <w:sz w:val="24"/>
          <w:szCs w:val="24"/>
        </w:rPr>
        <w:t xml:space="preserve"> cho</w:t>
      </w:r>
      <w:r w:rsidRPr="001C74C5">
        <w:rPr>
          <w:noProof/>
          <w:sz w:val="24"/>
          <w:szCs w:val="24"/>
          <w:lang w:val="vi-VN"/>
        </w:rPr>
        <w:t xml:space="preserve"> </w:t>
      </w:r>
      <w:r w:rsidRPr="001C74C5">
        <w:rPr>
          <w:noProof/>
          <w:sz w:val="24"/>
          <w:szCs w:val="24"/>
        </w:rPr>
        <w:t>phẫu thuật  lấy thai có hiệu quả vô cảm tốt, bảo đảm ức chế vận động và giảm đau sau mổ kéo dài.</w:t>
      </w:r>
    </w:p>
    <w:p w:rsidR="001C74C5" w:rsidRPr="001C74C5" w:rsidRDefault="001C74C5" w:rsidP="001C74C5">
      <w:pPr>
        <w:ind w:firstLine="360"/>
        <w:contextualSpacing/>
        <w:jc w:val="both"/>
        <w:rPr>
          <w:noProof/>
          <w:sz w:val="24"/>
          <w:szCs w:val="24"/>
        </w:rPr>
      </w:pPr>
      <w:r w:rsidRPr="001C74C5">
        <w:rPr>
          <w:b/>
          <w:i/>
          <w:noProof/>
          <w:sz w:val="24"/>
          <w:szCs w:val="24"/>
        </w:rPr>
        <w:t>Từ khóa:</w:t>
      </w:r>
      <w:r w:rsidRPr="001C74C5">
        <w:rPr>
          <w:b/>
          <w:noProof/>
          <w:sz w:val="24"/>
          <w:szCs w:val="24"/>
        </w:rPr>
        <w:t xml:space="preserve"> </w:t>
      </w:r>
      <w:r w:rsidRPr="001C74C5">
        <w:rPr>
          <w:noProof/>
          <w:sz w:val="24"/>
          <w:szCs w:val="24"/>
        </w:rPr>
        <w:t>Gây tê tủy sống, levobupivacain, morphin, phẫu thuật lấy thai</w:t>
      </w:r>
    </w:p>
    <w:p w:rsidR="001C74C5" w:rsidRPr="001C74C5" w:rsidRDefault="001C74C5" w:rsidP="001C74C5">
      <w:pPr>
        <w:contextualSpacing/>
        <w:jc w:val="both"/>
        <w:rPr>
          <w:b/>
          <w:noProof/>
          <w:sz w:val="24"/>
          <w:szCs w:val="24"/>
        </w:rPr>
      </w:pPr>
    </w:p>
    <w:p w:rsidR="001C74C5" w:rsidRPr="001C74C5" w:rsidRDefault="001C74C5" w:rsidP="001C74C5">
      <w:pPr>
        <w:contextualSpacing/>
        <w:jc w:val="both"/>
        <w:rPr>
          <w:rFonts w:ascii="Calibri" w:hAnsi="Calibri"/>
          <w:b/>
          <w:noProof/>
          <w:sz w:val="24"/>
          <w:szCs w:val="24"/>
          <w:lang w:val="vi-VN"/>
        </w:rPr>
      </w:pPr>
      <w:r w:rsidRPr="001C74C5">
        <w:rPr>
          <w:rFonts w:ascii="Calibri" w:hAnsi="Calibri"/>
          <w:b/>
          <w:noProof/>
          <w:sz w:val="24"/>
          <w:szCs w:val="24"/>
          <w:lang w:val="vi-VN"/>
        </w:rPr>
        <w:t>SUMMARY</w:t>
      </w:r>
    </w:p>
    <w:p w:rsidR="001C74C5" w:rsidRPr="001C74C5" w:rsidRDefault="001C74C5" w:rsidP="001C74C5">
      <w:pPr>
        <w:contextualSpacing/>
        <w:jc w:val="center"/>
        <w:rPr>
          <w:b/>
          <w:noProof/>
          <w:sz w:val="24"/>
          <w:szCs w:val="24"/>
        </w:rPr>
      </w:pPr>
      <w:r w:rsidRPr="001C74C5">
        <w:rPr>
          <w:b/>
          <w:noProof/>
          <w:sz w:val="24"/>
          <w:szCs w:val="24"/>
        </w:rPr>
        <w:t>STUDYING ON EFFECTS OF COMBINATION LEVOBUPIVACAINE WITH FENTANYL AND</w:t>
      </w:r>
      <w:r w:rsidRPr="001C74C5">
        <w:rPr>
          <w:b/>
          <w:noProof/>
          <w:sz w:val="24"/>
          <w:szCs w:val="24"/>
          <w:lang w:val="vi-VN"/>
        </w:rPr>
        <w:t xml:space="preserve"> </w:t>
      </w:r>
      <w:r w:rsidRPr="001C74C5">
        <w:rPr>
          <w:b/>
          <w:noProof/>
          <w:sz w:val="24"/>
          <w:szCs w:val="24"/>
        </w:rPr>
        <w:t xml:space="preserve">MORPHINE IN SPINAL ANESTHESIA </w:t>
      </w:r>
      <w:r w:rsidRPr="001C74C5">
        <w:rPr>
          <w:b/>
          <w:noProof/>
          <w:sz w:val="24"/>
          <w:szCs w:val="24"/>
          <w:lang w:val="vi-VN"/>
        </w:rPr>
        <w:t xml:space="preserve"> </w:t>
      </w:r>
      <w:r w:rsidRPr="001C74C5">
        <w:rPr>
          <w:b/>
          <w:noProof/>
          <w:sz w:val="24"/>
          <w:szCs w:val="24"/>
        </w:rPr>
        <w:t>FOR CESAREAN SECTION</w:t>
      </w:r>
    </w:p>
    <w:p w:rsidR="001C74C5" w:rsidRPr="001C74C5" w:rsidRDefault="001C74C5" w:rsidP="001C74C5">
      <w:pPr>
        <w:ind w:firstLine="360"/>
        <w:contextualSpacing/>
        <w:jc w:val="both"/>
        <w:rPr>
          <w:noProof/>
          <w:sz w:val="24"/>
          <w:szCs w:val="24"/>
        </w:rPr>
      </w:pPr>
      <w:r w:rsidRPr="001C74C5">
        <w:rPr>
          <w:b/>
          <w:noProof/>
          <w:sz w:val="24"/>
          <w:szCs w:val="24"/>
        </w:rPr>
        <w:t>Objectives:</w:t>
      </w:r>
      <w:r w:rsidRPr="001C74C5">
        <w:rPr>
          <w:noProof/>
          <w:sz w:val="24"/>
          <w:szCs w:val="24"/>
        </w:rPr>
        <w:t xml:space="preserve"> to evaluate anesthesia effect, motor blockade, and postoperative analgesia of combination levobupivacaine with fentanyl and morphine in spinal anesthesia for cesarean section. </w:t>
      </w:r>
    </w:p>
    <w:p w:rsidR="001C74C5" w:rsidRPr="001C74C5" w:rsidRDefault="001C74C5" w:rsidP="001C74C5">
      <w:pPr>
        <w:ind w:firstLine="360"/>
        <w:contextualSpacing/>
        <w:jc w:val="both"/>
        <w:rPr>
          <w:noProof/>
          <w:sz w:val="24"/>
          <w:szCs w:val="24"/>
        </w:rPr>
      </w:pPr>
      <w:r w:rsidRPr="001C74C5">
        <w:rPr>
          <w:b/>
          <w:noProof/>
          <w:sz w:val="24"/>
          <w:szCs w:val="24"/>
        </w:rPr>
        <w:t>Subjects and method:</w:t>
      </w:r>
      <w:r w:rsidRPr="001C74C5">
        <w:rPr>
          <w:noProof/>
          <w:sz w:val="24"/>
          <w:szCs w:val="24"/>
        </w:rPr>
        <w:t xml:space="preserve"> 80 parturient cases having indication for cesarean section under spinal anesthesia were divided into two groups: Group I (study group n=40): Spinal anesthesia by combination of levobupivacaine 9mg with fentanyl 20mcg and morphine 100mcg. Group II (control group n=40): Spinal anesthesia by combination of levobupivacaine 9mg with fentanyl 20mcg. </w:t>
      </w:r>
    </w:p>
    <w:p w:rsidR="001C74C5" w:rsidRPr="001C74C5" w:rsidRDefault="001C74C5" w:rsidP="001C74C5">
      <w:pPr>
        <w:ind w:firstLine="360"/>
        <w:contextualSpacing/>
        <w:jc w:val="both"/>
        <w:rPr>
          <w:rFonts w:eastAsia="Courier New"/>
          <w:bCs/>
          <w:sz w:val="24"/>
          <w:szCs w:val="24"/>
        </w:rPr>
      </w:pPr>
      <w:r w:rsidRPr="001C74C5">
        <w:rPr>
          <w:b/>
          <w:noProof/>
          <w:sz w:val="24"/>
          <w:szCs w:val="24"/>
        </w:rPr>
        <w:t>Results:</w:t>
      </w:r>
      <w:r w:rsidRPr="001C74C5">
        <w:rPr>
          <w:noProof/>
          <w:sz w:val="24"/>
          <w:szCs w:val="24"/>
        </w:rPr>
        <w:t xml:space="preserve"> Sensation blockade onset of the group I at T6 level,</w:t>
      </w:r>
      <w:r w:rsidRPr="001C74C5">
        <w:rPr>
          <w:rFonts w:eastAsia="Courier New"/>
          <w:bCs/>
          <w:sz w:val="24"/>
          <w:szCs w:val="24"/>
        </w:rPr>
        <w:t xml:space="preserve"> motor blockade onset at M1 level, motor recovery duration, </w:t>
      </w:r>
      <w:r w:rsidRPr="001C74C5">
        <w:rPr>
          <w:noProof/>
          <w:sz w:val="24"/>
          <w:szCs w:val="24"/>
        </w:rPr>
        <w:t>e</w:t>
      </w:r>
      <w:r w:rsidRPr="001C74C5">
        <w:rPr>
          <w:rFonts w:eastAsia="Courier New"/>
          <w:bCs/>
          <w:sz w:val="24"/>
          <w:szCs w:val="24"/>
        </w:rPr>
        <w:t>xcellent anesthesia level</w:t>
      </w:r>
      <w:r w:rsidRPr="001C74C5">
        <w:rPr>
          <w:noProof/>
          <w:sz w:val="24"/>
          <w:szCs w:val="24"/>
        </w:rPr>
        <w:t xml:space="preserve"> were </w:t>
      </w:r>
      <w:r w:rsidRPr="001C74C5">
        <w:rPr>
          <w:rFonts w:eastAsia="Courier New"/>
          <w:bCs/>
          <w:sz w:val="24"/>
          <w:szCs w:val="24"/>
        </w:rPr>
        <w:t xml:space="preserve">5.2 ± 1.06 min; 1.77 ± 0.42min; 112.87 ± 20.09 min, and 100%, respectively. The group I didn’t use diclovat for postoperative analgesia while the control group used 150 ± 50mg (p&lt;0.05). Postoperative analgesia duration of the group I was 1280.5 ± 70.34min longer than the control group (137.17 ± 23.01 min) (p&lt;0.05). </w:t>
      </w:r>
    </w:p>
    <w:p w:rsidR="001C74C5" w:rsidRPr="001C74C5" w:rsidRDefault="001C74C5" w:rsidP="001C74C5">
      <w:pPr>
        <w:ind w:firstLine="360"/>
        <w:contextualSpacing/>
        <w:jc w:val="both"/>
        <w:rPr>
          <w:noProof/>
          <w:sz w:val="24"/>
          <w:szCs w:val="24"/>
        </w:rPr>
      </w:pPr>
      <w:r w:rsidRPr="001C74C5">
        <w:rPr>
          <w:rFonts w:eastAsia="Courier New"/>
          <w:b/>
          <w:bCs/>
          <w:sz w:val="24"/>
          <w:szCs w:val="24"/>
        </w:rPr>
        <w:t>Conclusion:</w:t>
      </w:r>
      <w:r w:rsidRPr="001C74C5">
        <w:rPr>
          <w:rFonts w:eastAsia="Courier New"/>
          <w:bCs/>
          <w:sz w:val="24"/>
          <w:szCs w:val="24"/>
        </w:rPr>
        <w:t xml:space="preserve"> Spinal anesthesia by combination levobupivacaine with fentanyl and morphine had excellent anesthesia, ensured motor blockade and long postoperative analgesia.   </w:t>
      </w:r>
      <w:r w:rsidRPr="001C74C5">
        <w:rPr>
          <w:noProof/>
          <w:sz w:val="24"/>
          <w:szCs w:val="24"/>
        </w:rPr>
        <w:t xml:space="preserve">     </w:t>
      </w:r>
    </w:p>
    <w:p w:rsidR="001C74C5" w:rsidRPr="001C74C5" w:rsidRDefault="001C74C5" w:rsidP="001C74C5">
      <w:pPr>
        <w:ind w:firstLine="360"/>
        <w:contextualSpacing/>
        <w:jc w:val="both"/>
        <w:rPr>
          <w:noProof/>
          <w:sz w:val="24"/>
          <w:szCs w:val="24"/>
        </w:rPr>
      </w:pPr>
      <w:r w:rsidRPr="001C74C5">
        <w:rPr>
          <w:b/>
          <w:i/>
          <w:noProof/>
          <w:sz w:val="24"/>
          <w:szCs w:val="24"/>
        </w:rPr>
        <w:t>Keywords:</w:t>
      </w:r>
      <w:r w:rsidRPr="001C74C5">
        <w:rPr>
          <w:b/>
          <w:noProof/>
          <w:sz w:val="24"/>
          <w:szCs w:val="24"/>
        </w:rPr>
        <w:t xml:space="preserve"> </w:t>
      </w:r>
      <w:r w:rsidRPr="001C74C5">
        <w:rPr>
          <w:noProof/>
          <w:sz w:val="24"/>
          <w:szCs w:val="24"/>
        </w:rPr>
        <w:t>Spinal anesthesia, levobupivacaine, morphine, cesarean section</w:t>
      </w:r>
      <w:bookmarkStart w:id="0" w:name="_GoBack"/>
      <w:bookmarkEnd w:id="0"/>
    </w:p>
    <w:sectPr w:rsidR="001C74C5" w:rsidRPr="001C74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6C" w:rsidRDefault="0018456C" w:rsidP="00ED09D2">
      <w:r>
        <w:separator/>
      </w:r>
    </w:p>
  </w:endnote>
  <w:endnote w:type="continuationSeparator" w:id="0">
    <w:p w:rsidR="0018456C" w:rsidRDefault="0018456C" w:rsidP="00ED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6C" w:rsidRDefault="0018456C" w:rsidP="00ED09D2">
      <w:r>
        <w:separator/>
      </w:r>
    </w:p>
  </w:footnote>
  <w:footnote w:type="continuationSeparator" w:id="0">
    <w:p w:rsidR="0018456C" w:rsidRDefault="0018456C" w:rsidP="00ED09D2">
      <w:r>
        <w:continuationSeparator/>
      </w:r>
    </w:p>
  </w:footnote>
  <w:footnote w:id="1">
    <w:p w:rsidR="001C74C5" w:rsidRPr="00B358FC" w:rsidRDefault="001C74C5" w:rsidP="001C74C5">
      <w:pPr>
        <w:jc w:val="both"/>
        <w:rPr>
          <w:rFonts w:ascii="Calibri" w:hAnsi="Calibri"/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1F"/>
    <w:rsid w:val="0001081F"/>
    <w:rsid w:val="0018456C"/>
    <w:rsid w:val="001C74C5"/>
    <w:rsid w:val="008256DB"/>
    <w:rsid w:val="00D46549"/>
    <w:rsid w:val="00E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BF887-53BA-47C6-B054-3A925BB3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09D2"/>
    <w:rPr>
      <w:color w:val="0000FF"/>
      <w:u w:val="single"/>
    </w:rPr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ED09D2"/>
    <w:rPr>
      <w:vertAlign w:val="superscript"/>
    </w:rPr>
  </w:style>
  <w:style w:type="paragraph" w:customStyle="1" w:styleId="00">
    <w:name w:val="00"/>
    <w:basedOn w:val="Normal"/>
    <w:rsid w:val="00ED09D2"/>
    <w:pPr>
      <w:overflowPunct/>
      <w:autoSpaceDE/>
      <w:autoSpaceDN/>
      <w:adjustRightInd/>
      <w:spacing w:line="360" w:lineRule="auto"/>
      <w:ind w:left="144" w:firstLine="144"/>
      <w:jc w:val="both"/>
      <w:textAlignment w:val="auto"/>
    </w:pPr>
    <w:rPr>
      <w:rFonts w:ascii="Times New Roman" w:hAnsi="Times New Roman"/>
      <w:b/>
      <w:bCs/>
      <w:sz w:val="28"/>
      <w:szCs w:val="28"/>
    </w:rPr>
  </w:style>
  <w:style w:type="paragraph" w:customStyle="1" w:styleId="1">
    <w:name w:val="1"/>
    <w:basedOn w:val="Heading1"/>
    <w:link w:val="1Char"/>
    <w:qFormat/>
    <w:rsid w:val="001C74C5"/>
    <w:pPr>
      <w:keepLines w:val="0"/>
      <w:overflowPunct/>
      <w:autoSpaceDE/>
      <w:autoSpaceDN/>
      <w:adjustRightInd/>
      <w:spacing w:before="120" w:line="360" w:lineRule="auto"/>
      <w:jc w:val="center"/>
      <w:textAlignment w:val="auto"/>
    </w:pPr>
    <w:rPr>
      <w:rFonts w:ascii="Times New Roman" w:eastAsia="Times New Roman" w:hAnsi="Times New Roman" w:cs="Times New Roman"/>
      <w:b/>
      <w:color w:val="auto"/>
      <w:sz w:val="26"/>
      <w:szCs w:val="26"/>
      <w:lang w:val="de-DE"/>
    </w:rPr>
  </w:style>
  <w:style w:type="character" w:customStyle="1" w:styleId="1Char">
    <w:name w:val="1 Char"/>
    <w:link w:val="1"/>
    <w:rsid w:val="001C74C5"/>
    <w:rPr>
      <w:rFonts w:ascii="Times New Roman" w:eastAsia="Times New Roman" w:hAnsi="Times New Roman" w:cs="Times New Roman"/>
      <w:b/>
      <w:sz w:val="26"/>
      <w:szCs w:val="2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1C7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3</cp:revision>
  <dcterms:created xsi:type="dcterms:W3CDTF">2015-08-17T08:59:00Z</dcterms:created>
  <dcterms:modified xsi:type="dcterms:W3CDTF">2015-12-29T07:40:00Z</dcterms:modified>
</cp:coreProperties>
</file>