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E35" w:rsidRPr="00063BC7" w:rsidRDefault="00B07E35" w:rsidP="00B07E35">
      <w:pPr>
        <w:contextualSpacing/>
        <w:jc w:val="center"/>
        <w:rPr>
          <w:rFonts w:ascii="Cambria" w:hAnsi="Cambria"/>
          <w:b/>
          <w:sz w:val="28"/>
        </w:rPr>
      </w:pPr>
      <w:r w:rsidRPr="00063BC7">
        <w:rPr>
          <w:rFonts w:ascii="Cambria" w:hAnsi="Cambria"/>
          <w:b/>
          <w:sz w:val="28"/>
        </w:rPr>
        <w:t>KẾT QUẢ PHẪU THUẬT THAY LẠI KHỚP HÁNG NHÂN TẠO</w:t>
      </w:r>
    </w:p>
    <w:p w:rsidR="00B07E35" w:rsidRDefault="00B07E35" w:rsidP="00B07E35">
      <w:pPr>
        <w:contextualSpacing/>
        <w:jc w:val="both"/>
        <w:rPr>
          <w:b/>
        </w:rPr>
      </w:pPr>
    </w:p>
    <w:p w:rsidR="00B07E35" w:rsidRDefault="00B07E35" w:rsidP="00B07E35">
      <w:pPr>
        <w:contextualSpacing/>
        <w:jc w:val="right"/>
        <w:rPr>
          <w:rFonts w:ascii="Times New Roman" w:hAnsi="Times New Roman"/>
          <w:b/>
          <w:lang w:val="vi-VN"/>
        </w:rPr>
      </w:pPr>
      <w:r w:rsidRPr="00063BC7">
        <w:rPr>
          <w:rFonts w:ascii="Times New Roman" w:hAnsi="Times New Roman"/>
          <w:b/>
        </w:rPr>
        <w:t>Nguyễn Mạnh Khánh</w:t>
      </w:r>
      <w:r w:rsidRPr="00063BC7">
        <w:rPr>
          <w:rFonts w:ascii="Times New Roman" w:hAnsi="Times New Roman"/>
          <w:b/>
          <w:lang w:val="vi-VN"/>
        </w:rPr>
        <w:t>*</w:t>
      </w:r>
    </w:p>
    <w:p w:rsidR="00B07E35" w:rsidRDefault="00B07E35" w:rsidP="00B07E35">
      <w:pPr>
        <w:contextualSpacing/>
        <w:jc w:val="both"/>
        <w:rPr>
          <w:rFonts w:ascii="Times New Roman" w:hAnsi="Times New Roman"/>
          <w:b/>
          <w:lang w:val="vi-VN"/>
        </w:rPr>
      </w:pPr>
    </w:p>
    <w:p w:rsidR="00B07E35" w:rsidRPr="00B07E35" w:rsidRDefault="00B07E35" w:rsidP="00B07E35">
      <w:pPr>
        <w:contextualSpacing/>
        <w:jc w:val="both"/>
        <w:rPr>
          <w:rFonts w:ascii="Calibri" w:hAnsi="Calibri"/>
          <w:b/>
          <w:sz w:val="26"/>
          <w:szCs w:val="26"/>
        </w:rPr>
      </w:pPr>
      <w:r w:rsidRPr="00B07E35">
        <w:rPr>
          <w:rFonts w:ascii="Calibri" w:hAnsi="Calibri"/>
          <w:b/>
          <w:sz w:val="26"/>
          <w:szCs w:val="26"/>
        </w:rPr>
        <w:t>TÓM TẮT</w:t>
      </w:r>
      <w:r w:rsidRPr="00B07E35">
        <w:rPr>
          <w:rStyle w:val="FootnoteReference"/>
          <w:rFonts w:ascii="Calibri" w:hAnsi="Calibri"/>
          <w:b/>
          <w:sz w:val="26"/>
          <w:szCs w:val="26"/>
        </w:rPr>
        <w:footnoteReference w:id="1"/>
      </w:r>
    </w:p>
    <w:p w:rsidR="00B07E35" w:rsidRPr="00B07E35" w:rsidRDefault="00B07E35" w:rsidP="00B07E35">
      <w:pPr>
        <w:ind w:firstLine="360"/>
        <w:contextualSpacing/>
        <w:jc w:val="both"/>
        <w:rPr>
          <w:sz w:val="26"/>
          <w:szCs w:val="26"/>
        </w:rPr>
      </w:pPr>
      <w:r w:rsidRPr="00B07E35">
        <w:rPr>
          <w:b/>
          <w:sz w:val="26"/>
          <w:szCs w:val="26"/>
        </w:rPr>
        <w:t>Mục tiêu</w:t>
      </w:r>
      <w:r w:rsidRPr="00B07E35">
        <w:rPr>
          <w:sz w:val="26"/>
          <w:szCs w:val="26"/>
        </w:rPr>
        <w:t xml:space="preserve">: đánh giá kết quả và rút ra một số nhận xét về chỉ định và kỹ thuật thay lại khớp háng nhân tạo. </w:t>
      </w:r>
    </w:p>
    <w:p w:rsidR="00B07E35" w:rsidRPr="00B07E35" w:rsidRDefault="00B07E35" w:rsidP="00B07E35">
      <w:pPr>
        <w:ind w:firstLine="360"/>
        <w:contextualSpacing/>
        <w:jc w:val="both"/>
        <w:rPr>
          <w:sz w:val="26"/>
          <w:szCs w:val="26"/>
        </w:rPr>
      </w:pPr>
      <w:r w:rsidRPr="00B07E35">
        <w:rPr>
          <w:b/>
          <w:sz w:val="26"/>
          <w:szCs w:val="26"/>
        </w:rPr>
        <w:t>Đối tượng và phương pháp nghiên cứu</w:t>
      </w:r>
      <w:r w:rsidRPr="00B07E35">
        <w:rPr>
          <w:sz w:val="26"/>
          <w:szCs w:val="26"/>
        </w:rPr>
        <w:t xml:space="preserve">: 22 bệnh nhân được thay lại khớp háng từ 2007-2015 tại Bệnh viện Việt Đức. </w:t>
      </w:r>
    </w:p>
    <w:p w:rsidR="00B07E35" w:rsidRPr="00B07E35" w:rsidRDefault="00B07E35" w:rsidP="00B07E35">
      <w:pPr>
        <w:ind w:firstLine="360"/>
        <w:contextualSpacing/>
        <w:jc w:val="both"/>
        <w:rPr>
          <w:sz w:val="26"/>
          <w:szCs w:val="26"/>
        </w:rPr>
      </w:pPr>
      <w:r w:rsidRPr="00B07E35">
        <w:rPr>
          <w:b/>
          <w:sz w:val="26"/>
          <w:szCs w:val="26"/>
        </w:rPr>
        <w:t>Kết quả nghiên cứu</w:t>
      </w:r>
      <w:r w:rsidRPr="00B07E35">
        <w:rPr>
          <w:sz w:val="26"/>
          <w:szCs w:val="26"/>
        </w:rPr>
        <w:t xml:space="preserve">: chỉ định thay lại khớp háng chủ yếu do lỏng chuôi 50%, lỏng ổ cối 31,8%, gãy xương đùi quanh chuôi 18,2%, trật háng, nhiễm trùng sau thay khớp háng... Kết quả theo thang điểm Merle d'Aubigné tỷ lệ rất tốt và tốt 86,5%, khá 4,5% và kém 9,0%. Có 2 trường hợp trật lại khớp và nhiễm khuẩn tái phát. </w:t>
      </w:r>
    </w:p>
    <w:p w:rsidR="00B07E35" w:rsidRPr="00B07E35" w:rsidRDefault="00B07E35" w:rsidP="00B07E35">
      <w:pPr>
        <w:ind w:firstLine="360"/>
        <w:contextualSpacing/>
        <w:jc w:val="both"/>
        <w:rPr>
          <w:sz w:val="26"/>
          <w:szCs w:val="26"/>
        </w:rPr>
      </w:pPr>
      <w:r w:rsidRPr="00B07E35">
        <w:rPr>
          <w:b/>
          <w:sz w:val="26"/>
          <w:szCs w:val="26"/>
        </w:rPr>
        <w:t>Kết luận</w:t>
      </w:r>
      <w:r w:rsidRPr="00B07E35">
        <w:rPr>
          <w:sz w:val="26"/>
          <w:szCs w:val="26"/>
        </w:rPr>
        <w:t xml:space="preserve">: Thay lại khớp háng là một phẫu thuật khó và phức tạp, mặc dù có tỷ lệ biến chứng nhất định nhưng phẫu thuật đúng chỉ định là cần thiết và mang lại kết quả khả quan cho người bệnh. </w:t>
      </w:r>
    </w:p>
    <w:p w:rsidR="00B07E35" w:rsidRPr="00B07E35" w:rsidRDefault="00B07E35" w:rsidP="00B07E35">
      <w:pPr>
        <w:ind w:firstLine="360"/>
        <w:contextualSpacing/>
        <w:jc w:val="both"/>
        <w:rPr>
          <w:sz w:val="26"/>
          <w:szCs w:val="26"/>
        </w:rPr>
      </w:pPr>
      <w:r w:rsidRPr="00B07E35">
        <w:rPr>
          <w:b/>
          <w:i/>
          <w:sz w:val="26"/>
          <w:szCs w:val="26"/>
        </w:rPr>
        <w:t>Từ khóa</w:t>
      </w:r>
      <w:r w:rsidRPr="00B07E35">
        <w:rPr>
          <w:sz w:val="26"/>
          <w:szCs w:val="26"/>
        </w:rPr>
        <w:t>: thay khớp háng toàn bộ, thay lại khớp.</w:t>
      </w:r>
    </w:p>
    <w:p w:rsidR="00B07E35" w:rsidRPr="00B07E35" w:rsidRDefault="00B07E35" w:rsidP="00B07E35">
      <w:pPr>
        <w:contextualSpacing/>
        <w:jc w:val="both"/>
        <w:rPr>
          <w:sz w:val="26"/>
          <w:szCs w:val="26"/>
        </w:rPr>
      </w:pPr>
    </w:p>
    <w:p w:rsidR="00B07E35" w:rsidRPr="00B07E35" w:rsidRDefault="00B07E35" w:rsidP="00B07E35">
      <w:pPr>
        <w:contextualSpacing/>
        <w:jc w:val="both"/>
        <w:rPr>
          <w:rFonts w:ascii="Calibri" w:hAnsi="Calibri"/>
          <w:b/>
          <w:sz w:val="26"/>
          <w:szCs w:val="26"/>
        </w:rPr>
      </w:pPr>
      <w:r w:rsidRPr="00B07E35">
        <w:rPr>
          <w:rFonts w:ascii="Calibri" w:hAnsi="Calibri"/>
          <w:b/>
          <w:sz w:val="26"/>
          <w:szCs w:val="26"/>
        </w:rPr>
        <w:t>SUMMARY</w:t>
      </w:r>
    </w:p>
    <w:p w:rsidR="00B07E35" w:rsidRPr="00B07E35" w:rsidRDefault="00B07E35" w:rsidP="00B07E35">
      <w:pPr>
        <w:contextualSpacing/>
        <w:jc w:val="center"/>
        <w:rPr>
          <w:b/>
          <w:sz w:val="26"/>
          <w:szCs w:val="26"/>
        </w:rPr>
      </w:pPr>
      <w:r w:rsidRPr="00B07E35">
        <w:rPr>
          <w:b/>
          <w:sz w:val="26"/>
          <w:szCs w:val="26"/>
        </w:rPr>
        <w:t>RESULTS OF REVISION HIP ARTHROPLASTY</w:t>
      </w:r>
    </w:p>
    <w:p w:rsidR="00B07E35" w:rsidRPr="00B07E35" w:rsidRDefault="00B07E35" w:rsidP="00B07E35">
      <w:pPr>
        <w:ind w:firstLine="360"/>
        <w:contextualSpacing/>
        <w:jc w:val="both"/>
        <w:rPr>
          <w:sz w:val="26"/>
          <w:szCs w:val="26"/>
        </w:rPr>
      </w:pPr>
      <w:r w:rsidRPr="00B07E35">
        <w:rPr>
          <w:b/>
          <w:sz w:val="26"/>
          <w:szCs w:val="26"/>
        </w:rPr>
        <w:t>Objectives</w:t>
      </w:r>
      <w:r w:rsidRPr="00B07E35">
        <w:rPr>
          <w:sz w:val="26"/>
          <w:szCs w:val="26"/>
        </w:rPr>
        <w:t xml:space="preserve">: evaluate the results of revision hip arthroplasty in Viet Duc University Hospital. </w:t>
      </w:r>
    </w:p>
    <w:p w:rsidR="00B07E35" w:rsidRPr="00B07E35" w:rsidRDefault="00B07E35" w:rsidP="00B07E35">
      <w:pPr>
        <w:ind w:firstLine="360"/>
        <w:contextualSpacing/>
        <w:jc w:val="both"/>
        <w:rPr>
          <w:spacing w:val="-2"/>
          <w:sz w:val="26"/>
          <w:szCs w:val="26"/>
        </w:rPr>
      </w:pPr>
      <w:r w:rsidRPr="00B07E35">
        <w:rPr>
          <w:b/>
          <w:spacing w:val="-2"/>
          <w:sz w:val="26"/>
          <w:szCs w:val="26"/>
        </w:rPr>
        <w:t>Subjects and Methods</w:t>
      </w:r>
      <w:r w:rsidRPr="00B07E35">
        <w:rPr>
          <w:spacing w:val="-2"/>
          <w:sz w:val="26"/>
          <w:szCs w:val="26"/>
        </w:rPr>
        <w:t xml:space="preserve">: Revision hip arthroplasty were perfomed in 22 patients from 2007-2015. </w:t>
      </w:r>
    </w:p>
    <w:p w:rsidR="00B07E35" w:rsidRPr="00B07E35" w:rsidRDefault="00B07E35" w:rsidP="00B07E35">
      <w:pPr>
        <w:ind w:firstLine="360"/>
        <w:contextualSpacing/>
        <w:jc w:val="both"/>
        <w:rPr>
          <w:sz w:val="26"/>
          <w:szCs w:val="26"/>
        </w:rPr>
      </w:pPr>
      <w:r w:rsidRPr="00B07E35">
        <w:rPr>
          <w:b/>
          <w:sz w:val="26"/>
          <w:szCs w:val="26"/>
        </w:rPr>
        <w:t>Results</w:t>
      </w:r>
      <w:r w:rsidRPr="00B07E35">
        <w:rPr>
          <w:sz w:val="26"/>
          <w:szCs w:val="26"/>
        </w:rPr>
        <w:t xml:space="preserve">: The functional results, according to the rating scale of Merle d’Aubigné, were rated as excellent and very good in 86,5%, good in 4,5% and poor in 9,0% of the patients. Two cases had dislocation or infection. </w:t>
      </w:r>
    </w:p>
    <w:p w:rsidR="00B07E35" w:rsidRPr="00B07E35" w:rsidRDefault="00B07E35" w:rsidP="00B07E35">
      <w:pPr>
        <w:ind w:firstLine="360"/>
        <w:contextualSpacing/>
        <w:jc w:val="both"/>
        <w:rPr>
          <w:sz w:val="26"/>
          <w:szCs w:val="26"/>
        </w:rPr>
      </w:pPr>
      <w:r w:rsidRPr="00B07E35">
        <w:rPr>
          <w:b/>
          <w:sz w:val="26"/>
          <w:szCs w:val="26"/>
        </w:rPr>
        <w:t>Conclusion</w:t>
      </w:r>
      <w:r w:rsidRPr="00B07E35">
        <w:rPr>
          <w:sz w:val="26"/>
          <w:szCs w:val="26"/>
        </w:rPr>
        <w:t>: revision hip arthroplasty was difficult technically but perspective.</w:t>
      </w:r>
    </w:p>
    <w:p w:rsidR="00B07E35" w:rsidRPr="00B07E35" w:rsidRDefault="00B07E35" w:rsidP="00B07E35">
      <w:pPr>
        <w:ind w:firstLine="360"/>
        <w:contextualSpacing/>
        <w:jc w:val="both"/>
        <w:rPr>
          <w:sz w:val="26"/>
          <w:szCs w:val="26"/>
        </w:rPr>
      </w:pPr>
      <w:r w:rsidRPr="00B07E35">
        <w:rPr>
          <w:b/>
          <w:i/>
          <w:sz w:val="26"/>
          <w:szCs w:val="26"/>
        </w:rPr>
        <w:t>Keywords</w:t>
      </w:r>
      <w:r w:rsidRPr="00B07E35">
        <w:rPr>
          <w:sz w:val="26"/>
          <w:szCs w:val="26"/>
        </w:rPr>
        <w:t>: total hip arthroplasty, revision.</w:t>
      </w:r>
    </w:p>
    <w:p w:rsidR="008256DB" w:rsidRPr="00B07E35" w:rsidRDefault="008256DB" w:rsidP="00B07E35"/>
    <w:sectPr w:rsidR="008256DB" w:rsidRPr="00B07E35" w:rsidSect="00BC16E3">
      <w:pgSz w:w="11906" w:h="16838"/>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6CA" w:rsidRDefault="003026CA" w:rsidP="00BC16E3">
      <w:r>
        <w:separator/>
      </w:r>
    </w:p>
  </w:endnote>
  <w:endnote w:type="continuationSeparator" w:id="0">
    <w:p w:rsidR="003026CA" w:rsidRDefault="003026CA" w:rsidP="00BC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6CA" w:rsidRDefault="003026CA" w:rsidP="00BC16E3">
      <w:r>
        <w:separator/>
      </w:r>
    </w:p>
  </w:footnote>
  <w:footnote w:type="continuationSeparator" w:id="0">
    <w:p w:rsidR="003026CA" w:rsidRDefault="003026CA" w:rsidP="00BC16E3">
      <w:r>
        <w:continuationSeparator/>
      </w:r>
    </w:p>
  </w:footnote>
  <w:footnote w:id="1">
    <w:p w:rsidR="00B07E35" w:rsidRDefault="00B07E35" w:rsidP="00B07E35">
      <w:pPr>
        <w:contextualSpacing/>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977"/>
    <w:rsid w:val="003026CA"/>
    <w:rsid w:val="00603977"/>
    <w:rsid w:val="008256DB"/>
    <w:rsid w:val="009733A5"/>
    <w:rsid w:val="00B07E35"/>
    <w:rsid w:val="00BC16E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EB752-4931-44DE-A070-BDDD03D75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6E3"/>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BC16E3"/>
    <w:rPr>
      <w:vertAlign w:val="superscript"/>
    </w:rPr>
  </w:style>
  <w:style w:type="paragraph" w:styleId="Footer">
    <w:name w:val="footer"/>
    <w:aliases w:val="FooterQ"/>
    <w:basedOn w:val="Normal"/>
    <w:link w:val="FooterChar2"/>
    <w:uiPriority w:val="99"/>
    <w:rsid w:val="00B07E35"/>
    <w:pPr>
      <w:tabs>
        <w:tab w:val="center" w:pos="4320"/>
        <w:tab w:val="right" w:pos="8640"/>
      </w:tabs>
      <w:overflowPunct/>
      <w:autoSpaceDE/>
      <w:autoSpaceDN/>
      <w:adjustRightInd/>
      <w:textAlignment w:val="auto"/>
    </w:pPr>
    <w:rPr>
      <w:rFonts w:ascii=".VnTime" w:hAnsi=".VnTime" w:cs="Times New Roman"/>
      <w:color w:val="auto"/>
      <w:sz w:val="28"/>
      <w:szCs w:val="28"/>
    </w:rPr>
  </w:style>
  <w:style w:type="character" w:customStyle="1" w:styleId="FooterChar">
    <w:name w:val="Footer Char"/>
    <w:basedOn w:val="DefaultParagraphFont"/>
    <w:uiPriority w:val="99"/>
    <w:semiHidden/>
    <w:rsid w:val="00B07E35"/>
    <w:rPr>
      <w:rFonts w:ascii="Tahoma" w:eastAsia="Times New Roman" w:hAnsi="Tahoma" w:cs="Tahoma"/>
      <w:color w:val="000000"/>
      <w:sz w:val="20"/>
      <w:szCs w:val="20"/>
      <w:lang w:val="en-US"/>
    </w:rPr>
  </w:style>
  <w:style w:type="character" w:customStyle="1" w:styleId="FooterChar2">
    <w:name w:val="Footer Char2"/>
    <w:aliases w:val="FooterQ Char"/>
    <w:link w:val="Footer"/>
    <w:uiPriority w:val="99"/>
    <w:rsid w:val="00B07E35"/>
    <w:rPr>
      <w:rFonts w:ascii=".VnTime" w:eastAsia="Times New Roman" w:hAnsi=".VnTime"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213</Words>
  <Characters>1220</Characters>
  <Application>Microsoft Office Word</Application>
  <DocSecurity>0</DocSecurity>
  <Lines>10</Lines>
  <Paragraphs>2</Paragraphs>
  <ScaleCrop>false</ScaleCrop>
  <Company/>
  <LinksUpToDate>false</LinksUpToDate>
  <CharactersWithSpaces>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3</cp:revision>
  <dcterms:created xsi:type="dcterms:W3CDTF">2015-08-17T09:00:00Z</dcterms:created>
  <dcterms:modified xsi:type="dcterms:W3CDTF">2015-12-29T07:41:00Z</dcterms:modified>
</cp:coreProperties>
</file>