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9A4" w:rsidRPr="00E32A59" w:rsidRDefault="003849A4" w:rsidP="003849A4">
      <w:pPr>
        <w:spacing w:before="60" w:after="60"/>
        <w:contextualSpacing/>
        <w:jc w:val="center"/>
        <w:rPr>
          <w:rFonts w:ascii="Cambria" w:hAnsi="Cambria"/>
          <w:b/>
          <w:bCs/>
          <w:sz w:val="28"/>
          <w:szCs w:val="28"/>
        </w:rPr>
      </w:pPr>
      <w:r w:rsidRPr="00E32A59">
        <w:rPr>
          <w:rFonts w:ascii="Cambria" w:hAnsi="Cambria"/>
          <w:b/>
          <w:bCs/>
          <w:sz w:val="28"/>
          <w:szCs w:val="28"/>
        </w:rPr>
        <w:t>NGHIÊN CỨU ÁP DỤNG VÀ KẾT QUẢ LẤY SỎI MẬT QUA DA</w:t>
      </w:r>
    </w:p>
    <w:p w:rsidR="003849A4" w:rsidRPr="00E32A59" w:rsidRDefault="003849A4" w:rsidP="003849A4">
      <w:pPr>
        <w:spacing w:before="60" w:after="60"/>
        <w:contextualSpacing/>
        <w:jc w:val="center"/>
        <w:rPr>
          <w:rFonts w:ascii="Cambria" w:hAnsi="Cambria"/>
          <w:b/>
          <w:bCs/>
          <w:sz w:val="28"/>
          <w:szCs w:val="28"/>
        </w:rPr>
      </w:pPr>
      <w:r w:rsidRPr="00E32A59">
        <w:rPr>
          <w:rFonts w:ascii="Cambria" w:hAnsi="Cambria"/>
          <w:b/>
          <w:bCs/>
          <w:sz w:val="28"/>
          <w:szCs w:val="28"/>
        </w:rPr>
        <w:t>DƯỚI SỐ HÓA XÓA NỀN</w:t>
      </w:r>
      <w:bookmarkStart w:id="0" w:name="_GoBack"/>
      <w:bookmarkEnd w:id="0"/>
    </w:p>
    <w:p w:rsidR="003849A4" w:rsidRPr="00250713" w:rsidRDefault="003849A4" w:rsidP="003849A4">
      <w:pPr>
        <w:contextualSpacing/>
        <w:jc w:val="both"/>
        <w:rPr>
          <w:i/>
          <w:iCs/>
          <w:sz w:val="24"/>
          <w:szCs w:val="24"/>
        </w:rPr>
      </w:pPr>
    </w:p>
    <w:p w:rsidR="003849A4" w:rsidRPr="00250713" w:rsidRDefault="003849A4" w:rsidP="003849A4">
      <w:pPr>
        <w:contextualSpacing/>
        <w:jc w:val="right"/>
        <w:rPr>
          <w:rFonts w:ascii="Times New Roman" w:hAnsi="Times New Roman" w:cs="Times New Roman"/>
          <w:b/>
          <w:iCs/>
          <w:sz w:val="24"/>
          <w:szCs w:val="24"/>
        </w:rPr>
      </w:pPr>
      <w:r w:rsidRPr="00250713">
        <w:rPr>
          <w:rFonts w:ascii="Times New Roman" w:hAnsi="Times New Roman" w:cs="Times New Roman"/>
          <w:b/>
          <w:iCs/>
          <w:sz w:val="24"/>
          <w:szCs w:val="24"/>
        </w:rPr>
        <w:t>Ngô Quang Định*, Phạm Minh Thông**, Vũ Đăng Lưu**</w:t>
      </w:r>
    </w:p>
    <w:p w:rsidR="003849A4" w:rsidRDefault="003849A4" w:rsidP="003849A4">
      <w:pPr>
        <w:contextualSpacing/>
        <w:jc w:val="both"/>
        <w:rPr>
          <w:b/>
          <w:bCs/>
          <w:sz w:val="24"/>
          <w:szCs w:val="24"/>
        </w:rPr>
      </w:pPr>
    </w:p>
    <w:p w:rsidR="003849A4" w:rsidRPr="00250713" w:rsidRDefault="003849A4" w:rsidP="003849A4">
      <w:pPr>
        <w:contextualSpacing/>
        <w:jc w:val="both"/>
        <w:rPr>
          <w:rFonts w:ascii="Calibri" w:hAnsi="Calibri" w:cs="Calibri"/>
          <w:b/>
          <w:bCs/>
          <w:sz w:val="24"/>
          <w:szCs w:val="24"/>
        </w:rPr>
      </w:pPr>
      <w:r w:rsidRPr="00250713">
        <w:rPr>
          <w:rFonts w:ascii="Calibri" w:hAnsi="Calibri" w:cs="Calibri"/>
          <w:b/>
          <w:bCs/>
          <w:sz w:val="24"/>
          <w:szCs w:val="24"/>
        </w:rPr>
        <w:t>TÓM TẮT</w:t>
      </w:r>
      <w:r w:rsidRPr="00250713">
        <w:rPr>
          <w:rStyle w:val="FootnoteReference"/>
          <w:rFonts w:ascii="Calibri" w:hAnsi="Calibri" w:cs="Calibri"/>
          <w:b/>
          <w:bCs/>
          <w:sz w:val="24"/>
          <w:szCs w:val="24"/>
        </w:rPr>
        <w:footnoteReference w:id="1"/>
      </w:r>
    </w:p>
    <w:p w:rsidR="003849A4" w:rsidRPr="00250713" w:rsidRDefault="003849A4" w:rsidP="003849A4">
      <w:pPr>
        <w:ind w:firstLine="360"/>
        <w:contextualSpacing/>
        <w:jc w:val="both"/>
        <w:rPr>
          <w:sz w:val="24"/>
          <w:szCs w:val="24"/>
        </w:rPr>
      </w:pPr>
      <w:r w:rsidRPr="00250713">
        <w:rPr>
          <w:b/>
          <w:bCs/>
          <w:sz w:val="24"/>
          <w:szCs w:val="24"/>
        </w:rPr>
        <w:t>Mục đích</w:t>
      </w:r>
      <w:r w:rsidRPr="00250713">
        <w:rPr>
          <w:sz w:val="24"/>
          <w:szCs w:val="24"/>
        </w:rPr>
        <w:t xml:space="preserve">: áp dụng kỹ thuật và đánh giá kết quả can thiệp qua da lấy sỏi mật trong điều trị bệnh lý tắc mật do sỏi. </w:t>
      </w:r>
      <w:r w:rsidRPr="00250713">
        <w:rPr>
          <w:b/>
          <w:bCs/>
          <w:sz w:val="24"/>
          <w:szCs w:val="24"/>
        </w:rPr>
        <w:t>Đối tượng và phương pháp:</w:t>
      </w:r>
      <w:r w:rsidRPr="00250713">
        <w:rPr>
          <w:sz w:val="24"/>
          <w:szCs w:val="24"/>
        </w:rPr>
        <w:t xml:space="preserve"> Nghiên cứu tiến cứu theo dõi dọc không có nhóm chứng, trên 16 bệnh nhân được chẩn đoán và điều trị lấy sỏi đường mật qua da dưới chiếu số hóa xóa nền tại Khoa Chẩn đoán hình ảnh Bệnh viện Bạch Mai từ 2014-2015. Kỹ thuật lấy sỏi được tiến hành qua 2 thì gồm đặt dẫn lưu và sau 3-5 ngày tiến hành lấy sỏi bằng giọ chuyên dụng có thể kết hợp bóng nong và đẩy qua cơ thắt. Đánh giá thành công kỹ thuật, kết quả lấy sỏi, so sánh tình trạng đường mật trước và sau khi lấy sỏi, tình trạng bệnh nhân và biến chứng trong và sau can thiệp. </w:t>
      </w:r>
      <w:r w:rsidRPr="00250713">
        <w:rPr>
          <w:b/>
          <w:bCs/>
          <w:sz w:val="24"/>
          <w:szCs w:val="24"/>
        </w:rPr>
        <w:t>Kết quả:</w:t>
      </w:r>
      <w:r w:rsidRPr="00250713">
        <w:rPr>
          <w:sz w:val="24"/>
          <w:szCs w:val="24"/>
        </w:rPr>
        <w:t xml:space="preserve"> Có 12 nữ và 4 nam, tuổi trung bình 63,4 tuổi. Tỷ lệ thành công về kỹ thuật đạt 100% (16/16). Tất cả bệnh nhân hết tắc mật, lưu thông mật ruột trở lại bình thường. Có 15/16 bệnh nhân lấy được toàn bộ sỏi ống mật chủ. Có 1/16 bệnh nhân lấy được toàn bộ sỏi ống mật  chủ, nhưng không lấy được sỏi mật trong gan do xơ chít hẹp. 1/16 bệnh nhân có biến chứng viêm đường mật sau can thiệp, không có trường hợp biến chứng nghiêm trọng. Thời gian can thiệp trung bình 105 phút và thời gian nằm viện từ 7 đến 14 ngày.</w:t>
      </w:r>
      <w:r w:rsidRPr="00250713">
        <w:rPr>
          <w:b/>
          <w:bCs/>
          <w:sz w:val="24"/>
          <w:szCs w:val="24"/>
        </w:rPr>
        <w:t xml:space="preserve"> Kết luận:</w:t>
      </w:r>
      <w:r w:rsidRPr="00250713">
        <w:rPr>
          <w:sz w:val="24"/>
          <w:szCs w:val="24"/>
        </w:rPr>
        <w:t xml:space="preserve"> Can thiệp điều trị sỏi mật qua da dưới số hóa xóa nền có tỷ lệ thành công cao, tỷ lệ tai biến kỹ thuật rất thấp. </w:t>
      </w:r>
    </w:p>
    <w:p w:rsidR="003849A4" w:rsidRPr="00250713" w:rsidRDefault="003849A4" w:rsidP="003849A4">
      <w:pPr>
        <w:ind w:firstLine="360"/>
        <w:contextualSpacing/>
        <w:jc w:val="both"/>
        <w:rPr>
          <w:sz w:val="24"/>
          <w:szCs w:val="24"/>
        </w:rPr>
      </w:pPr>
      <w:r w:rsidRPr="00250713">
        <w:rPr>
          <w:b/>
          <w:i/>
          <w:sz w:val="24"/>
          <w:szCs w:val="24"/>
        </w:rPr>
        <w:t>Từ khóa:</w:t>
      </w:r>
      <w:r w:rsidRPr="00250713">
        <w:rPr>
          <w:sz w:val="24"/>
          <w:szCs w:val="24"/>
        </w:rPr>
        <w:t xml:space="preserve"> Sỏi đường mật, viêm đường mật, lấy sỏi qua da</w:t>
      </w:r>
    </w:p>
    <w:p w:rsidR="003849A4" w:rsidRPr="00250713" w:rsidRDefault="003849A4" w:rsidP="003849A4">
      <w:pPr>
        <w:pStyle w:val="Heading1"/>
        <w:shd w:val="clear" w:color="auto" w:fill="FFFFFF"/>
        <w:contextualSpacing/>
        <w:jc w:val="both"/>
        <w:rPr>
          <w:rFonts w:ascii="Tahoma" w:hAnsi="Tahoma"/>
          <w:i/>
          <w:iCs/>
          <w:sz w:val="24"/>
          <w:szCs w:val="24"/>
        </w:rPr>
      </w:pPr>
    </w:p>
    <w:p w:rsidR="003849A4" w:rsidRPr="00250713" w:rsidRDefault="003849A4" w:rsidP="003849A4">
      <w:pPr>
        <w:rPr>
          <w:rFonts w:ascii="Calibri" w:hAnsi="Calibri" w:cs="Calibri"/>
          <w:b/>
          <w:sz w:val="24"/>
          <w:szCs w:val="24"/>
        </w:rPr>
      </w:pPr>
      <w:r w:rsidRPr="00250713">
        <w:rPr>
          <w:rFonts w:ascii="Calibri" w:hAnsi="Calibri" w:cs="Calibri"/>
          <w:b/>
          <w:sz w:val="24"/>
          <w:szCs w:val="24"/>
        </w:rPr>
        <w:t>SUMMARY</w:t>
      </w:r>
    </w:p>
    <w:p w:rsidR="003849A4" w:rsidRPr="00250713" w:rsidRDefault="003849A4" w:rsidP="003849A4">
      <w:pPr>
        <w:pStyle w:val="Heading1"/>
        <w:shd w:val="clear" w:color="auto" w:fill="FFFFFF"/>
        <w:contextualSpacing/>
        <w:rPr>
          <w:rFonts w:ascii="Tahoma" w:hAnsi="Tahoma"/>
          <w:sz w:val="24"/>
          <w:szCs w:val="24"/>
        </w:rPr>
      </w:pPr>
      <w:r w:rsidRPr="00250713">
        <w:rPr>
          <w:rFonts w:ascii="Tahoma" w:hAnsi="Tahoma"/>
          <w:sz w:val="24"/>
          <w:szCs w:val="24"/>
        </w:rPr>
        <w:t xml:space="preserve">PERCUTANEOUS TRANSHEPATIC REMOVAL OF BILE DUCT STONES </w:t>
      </w:r>
      <w:r w:rsidRPr="00250713">
        <w:rPr>
          <w:rFonts w:ascii="Tahoma" w:hAnsi="Tahoma"/>
          <w:sz w:val="24"/>
          <w:szCs w:val="24"/>
          <w:shd w:val="clear" w:color="auto" w:fill="FFFFFF"/>
        </w:rPr>
        <w:t>UNDER FLUOROSCOPIC GUIDANCE</w:t>
      </w:r>
    </w:p>
    <w:p w:rsidR="003849A4" w:rsidRPr="00250713" w:rsidRDefault="003849A4" w:rsidP="003849A4">
      <w:pPr>
        <w:ind w:firstLine="360"/>
        <w:contextualSpacing/>
        <w:jc w:val="both"/>
        <w:rPr>
          <w:sz w:val="24"/>
          <w:szCs w:val="24"/>
          <w:shd w:val="clear" w:color="auto" w:fill="FFFFFF"/>
        </w:rPr>
      </w:pPr>
      <w:r w:rsidRPr="00250713">
        <w:rPr>
          <w:b/>
          <w:bCs/>
          <w:iCs/>
          <w:sz w:val="24"/>
          <w:szCs w:val="24"/>
          <w:lang w:val="vi-VN"/>
        </w:rPr>
        <w:t>Purpose:</w:t>
      </w:r>
      <w:r w:rsidRPr="00250713">
        <w:rPr>
          <w:sz w:val="24"/>
          <w:szCs w:val="24"/>
          <w:lang w:val="vi-VN"/>
        </w:rPr>
        <w:t xml:space="preserve"> </w:t>
      </w:r>
      <w:r w:rsidRPr="00250713">
        <w:rPr>
          <w:sz w:val="24"/>
          <w:szCs w:val="24"/>
          <w:shd w:val="clear" w:color="auto" w:fill="FFFFFF"/>
        </w:rPr>
        <w:t xml:space="preserve">To evaluate the technical feasibility and clinical efficacy of percutaneous transhepatic cholecystolithotomy under fluoroscopic guidance. </w:t>
      </w:r>
      <w:r w:rsidRPr="00250713">
        <w:rPr>
          <w:b/>
          <w:bCs/>
          <w:iCs/>
          <w:sz w:val="24"/>
          <w:szCs w:val="24"/>
        </w:rPr>
        <w:t>Materials</w:t>
      </w:r>
      <w:r w:rsidRPr="00250713">
        <w:rPr>
          <w:b/>
          <w:bCs/>
          <w:iCs/>
          <w:sz w:val="24"/>
          <w:szCs w:val="24"/>
          <w:lang w:val="vi-VN"/>
        </w:rPr>
        <w:t xml:space="preserve"> and Methods:</w:t>
      </w:r>
      <w:r w:rsidRPr="00250713">
        <w:rPr>
          <w:sz w:val="24"/>
          <w:szCs w:val="24"/>
          <w:lang w:val="vi-VN"/>
        </w:rPr>
        <w:t xml:space="preserve"> </w:t>
      </w:r>
      <w:r w:rsidRPr="00250713">
        <w:rPr>
          <w:sz w:val="24"/>
          <w:szCs w:val="24"/>
        </w:rPr>
        <w:t>P</w:t>
      </w:r>
      <w:r w:rsidRPr="00250713">
        <w:rPr>
          <w:sz w:val="24"/>
          <w:szCs w:val="24"/>
          <w:lang w:val="vi-VN"/>
        </w:rPr>
        <w:t>rospective</w:t>
      </w:r>
      <w:r w:rsidRPr="00250713">
        <w:rPr>
          <w:sz w:val="24"/>
          <w:szCs w:val="24"/>
        </w:rPr>
        <w:t xml:space="preserve"> study of</w:t>
      </w:r>
      <w:r w:rsidRPr="00250713">
        <w:rPr>
          <w:sz w:val="24"/>
          <w:szCs w:val="24"/>
          <w:lang w:val="vi-VN"/>
        </w:rPr>
        <w:t xml:space="preserve"> </w:t>
      </w:r>
      <w:r w:rsidRPr="00250713">
        <w:rPr>
          <w:sz w:val="24"/>
          <w:szCs w:val="24"/>
        </w:rPr>
        <w:t xml:space="preserve">sixteen consecutive </w:t>
      </w:r>
      <w:r w:rsidRPr="00250713">
        <w:rPr>
          <w:sz w:val="24"/>
          <w:szCs w:val="24"/>
          <w:lang w:val="vi-VN"/>
        </w:rPr>
        <w:t>patients</w:t>
      </w:r>
      <w:r w:rsidRPr="00250713">
        <w:rPr>
          <w:sz w:val="24"/>
          <w:szCs w:val="24"/>
        </w:rPr>
        <w:t xml:space="preserve"> high surgical risk, underwent  </w:t>
      </w:r>
      <w:r w:rsidRPr="00250713">
        <w:rPr>
          <w:sz w:val="24"/>
          <w:szCs w:val="24"/>
          <w:shd w:val="clear" w:color="auto" w:fill="FFFFFF"/>
        </w:rPr>
        <w:t xml:space="preserve">percutaneous transhepatic common bile duct stone removal under local anesthesia </w:t>
      </w:r>
      <w:r w:rsidRPr="00250713">
        <w:rPr>
          <w:sz w:val="24"/>
          <w:szCs w:val="24"/>
          <w:lang w:val="vi-VN"/>
        </w:rPr>
        <w:t xml:space="preserve">at </w:t>
      </w:r>
      <w:r w:rsidRPr="00250713">
        <w:rPr>
          <w:sz w:val="24"/>
          <w:szCs w:val="24"/>
        </w:rPr>
        <w:t>R</w:t>
      </w:r>
      <w:r w:rsidRPr="00250713">
        <w:rPr>
          <w:sz w:val="24"/>
          <w:szCs w:val="24"/>
          <w:lang w:val="vi-VN"/>
        </w:rPr>
        <w:t xml:space="preserve">adiology Department </w:t>
      </w:r>
      <w:r w:rsidRPr="00250713">
        <w:rPr>
          <w:sz w:val="24"/>
          <w:szCs w:val="24"/>
        </w:rPr>
        <w:t>of</w:t>
      </w:r>
      <w:r w:rsidRPr="00250713">
        <w:rPr>
          <w:sz w:val="24"/>
          <w:szCs w:val="24"/>
          <w:lang w:val="vi-VN"/>
        </w:rPr>
        <w:t xml:space="preserve"> Bach Mai Hospital from 2014 to 2015.</w:t>
      </w:r>
      <w:r w:rsidRPr="00250713">
        <w:rPr>
          <w:sz w:val="24"/>
          <w:szCs w:val="24"/>
        </w:rPr>
        <w:t xml:space="preserve"> </w:t>
      </w:r>
      <w:r w:rsidRPr="00250713">
        <w:rPr>
          <w:sz w:val="24"/>
          <w:szCs w:val="24"/>
          <w:shd w:val="clear" w:color="auto" w:fill="FFFFFF"/>
        </w:rPr>
        <w:t xml:space="preserve">The stones were fragmented and extracted </w:t>
      </w:r>
      <w:r w:rsidRPr="00250713">
        <w:rPr>
          <w:sz w:val="24"/>
          <w:szCs w:val="24"/>
        </w:rPr>
        <w:t>or assisted by balloon sphincteroplasty</w:t>
      </w:r>
      <w:r w:rsidRPr="00250713">
        <w:rPr>
          <w:sz w:val="24"/>
          <w:szCs w:val="24"/>
          <w:shd w:val="clear" w:color="auto" w:fill="FFFFFF"/>
        </w:rPr>
        <w:t xml:space="preserve"> through the 12-14 Fr sheath using a Wittich nitinol stone basket under fluoroscopic guidance on three or five days after performing a percutaneous drainage. The </w:t>
      </w:r>
      <w:r w:rsidRPr="00250713">
        <w:rPr>
          <w:sz w:val="24"/>
          <w:szCs w:val="24"/>
          <w:lang w:val="vi-VN"/>
        </w:rPr>
        <w:t>technical success, stones removal</w:t>
      </w:r>
      <w:r w:rsidRPr="00250713">
        <w:rPr>
          <w:sz w:val="24"/>
          <w:szCs w:val="24"/>
        </w:rPr>
        <w:t>, clinical symptoms and complications were analysed</w:t>
      </w:r>
      <w:r w:rsidRPr="00250713">
        <w:rPr>
          <w:sz w:val="24"/>
          <w:szCs w:val="24"/>
          <w:lang w:val="vi-VN"/>
        </w:rPr>
        <w:t xml:space="preserve">. </w:t>
      </w:r>
      <w:r w:rsidRPr="00250713">
        <w:rPr>
          <w:b/>
          <w:bCs/>
          <w:iCs/>
          <w:sz w:val="24"/>
          <w:szCs w:val="24"/>
          <w:lang w:val="vi-VN"/>
        </w:rPr>
        <w:t>The result:</w:t>
      </w:r>
      <w:r w:rsidRPr="00250713">
        <w:rPr>
          <w:sz w:val="24"/>
          <w:szCs w:val="24"/>
          <w:shd w:val="clear" w:color="auto" w:fill="FFFFFF"/>
        </w:rPr>
        <w:t xml:space="preserve"> 12 females and 4 males with the average age was 63,4 years old. Extrahepatic stones were successfully removed for all patients (100%). The mean procedure duration was 105 minutes. The hospitalization duration was from 7 to 14 days. Clinical symptoms of biliary obstruction were improved for all patients (16/16). One patient showed cholangitis symptoms after procedure but no patients suffered from serious complication. </w:t>
      </w:r>
      <w:r w:rsidRPr="00250713">
        <w:rPr>
          <w:b/>
          <w:bCs/>
          <w:iCs/>
          <w:sz w:val="24"/>
          <w:szCs w:val="24"/>
          <w:lang w:val="vi-VN"/>
        </w:rPr>
        <w:t>Conclusion:</w:t>
      </w:r>
      <w:r w:rsidRPr="00250713">
        <w:rPr>
          <w:sz w:val="24"/>
          <w:szCs w:val="24"/>
          <w:lang w:val="vi-VN"/>
        </w:rPr>
        <w:t xml:space="preserve"> </w:t>
      </w:r>
      <w:r w:rsidRPr="00250713">
        <w:rPr>
          <w:sz w:val="24"/>
          <w:szCs w:val="24"/>
          <w:shd w:val="clear" w:color="auto" w:fill="FFFFFF"/>
        </w:rPr>
        <w:t xml:space="preserve">Fluoroscopy-guided percutaneous biliary duct stone removal is technically feasible and clinically effective in high-risk surgical patients. </w:t>
      </w:r>
    </w:p>
    <w:p w:rsidR="003849A4" w:rsidRPr="00250713" w:rsidRDefault="003849A4" w:rsidP="003849A4">
      <w:pPr>
        <w:ind w:firstLine="360"/>
        <w:contextualSpacing/>
        <w:jc w:val="both"/>
        <w:rPr>
          <w:sz w:val="24"/>
          <w:szCs w:val="24"/>
        </w:rPr>
      </w:pPr>
      <w:r w:rsidRPr="00250713">
        <w:rPr>
          <w:b/>
          <w:i/>
          <w:sz w:val="24"/>
          <w:szCs w:val="24"/>
        </w:rPr>
        <w:t>Keywords:</w:t>
      </w:r>
      <w:r w:rsidRPr="00250713">
        <w:rPr>
          <w:sz w:val="24"/>
          <w:szCs w:val="24"/>
        </w:rPr>
        <w:t xml:space="preserve"> </w:t>
      </w:r>
      <w:r w:rsidRPr="00250713">
        <w:rPr>
          <w:sz w:val="24"/>
          <w:szCs w:val="24"/>
          <w:shd w:val="clear" w:color="auto" w:fill="FFFFFF"/>
        </w:rPr>
        <w:t>Bile duct stone, Acute cholangitis, Percutaneous stone remove</w:t>
      </w:r>
      <w:r w:rsidRPr="00250713">
        <w:rPr>
          <w:sz w:val="24"/>
          <w:szCs w:val="24"/>
          <w:lang w:val="vi-VN"/>
        </w:rPr>
        <w:t>.</w:t>
      </w:r>
    </w:p>
    <w:p w:rsidR="008256DB" w:rsidRPr="003849A4" w:rsidRDefault="008256DB" w:rsidP="003849A4"/>
    <w:sectPr w:rsidR="008256DB" w:rsidRPr="003849A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9D1" w:rsidRDefault="006E19D1" w:rsidP="00F322FA">
      <w:r>
        <w:separator/>
      </w:r>
    </w:p>
  </w:endnote>
  <w:endnote w:type="continuationSeparator" w:id="0">
    <w:p w:rsidR="006E19D1" w:rsidRDefault="006E19D1" w:rsidP="00F3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9D1" w:rsidRDefault="006E19D1" w:rsidP="00F322FA">
      <w:r>
        <w:separator/>
      </w:r>
    </w:p>
  </w:footnote>
  <w:footnote w:type="continuationSeparator" w:id="0">
    <w:p w:rsidR="006E19D1" w:rsidRDefault="006E19D1" w:rsidP="00F322FA">
      <w:r>
        <w:continuationSeparator/>
      </w:r>
    </w:p>
  </w:footnote>
  <w:footnote w:id="1">
    <w:p w:rsidR="003849A4" w:rsidRDefault="003849A4" w:rsidP="003849A4">
      <w:pPr>
        <w:contextualSpacing/>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4E"/>
    <w:rsid w:val="003849A4"/>
    <w:rsid w:val="006B733B"/>
    <w:rsid w:val="006E19D1"/>
    <w:rsid w:val="008256DB"/>
    <w:rsid w:val="00A44346"/>
    <w:rsid w:val="00AF5C27"/>
    <w:rsid w:val="00C7314E"/>
    <w:rsid w:val="00F322F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DDE2B-6D68-4B29-A82E-33C650E5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2FA"/>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paragraph" w:styleId="Heading1">
    <w:name w:val="heading 1"/>
    <w:aliases w:val="Heading 1Q,dieu1,Dieu,so1,Heading 1 Char Char,Heading 31,Heading 311"/>
    <w:basedOn w:val="Normal"/>
    <w:next w:val="Normal"/>
    <w:link w:val="Heading1Char2"/>
    <w:qFormat/>
    <w:rsid w:val="003849A4"/>
    <w:pPr>
      <w:keepNext/>
      <w:jc w:val="center"/>
      <w:outlineLvl w:val="0"/>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Body text (2) + Franklin Gothic Heavy1"/>
    <w:semiHidden/>
    <w:rsid w:val="00F322FA"/>
    <w:rPr>
      <w:vertAlign w:val="superscript"/>
    </w:rPr>
  </w:style>
  <w:style w:type="character" w:customStyle="1" w:styleId="apple-converted-space">
    <w:name w:val="apple-converted-space"/>
    <w:basedOn w:val="DefaultParagraphFont"/>
    <w:rsid w:val="00A44346"/>
  </w:style>
  <w:style w:type="paragraph" w:styleId="NormalWeb">
    <w:name w:val="Normal (Web)"/>
    <w:basedOn w:val="Normal"/>
    <w:uiPriority w:val="99"/>
    <w:unhideWhenUsed/>
    <w:rsid w:val="00A44346"/>
    <w:pPr>
      <w:overflowPunct/>
      <w:autoSpaceDE/>
      <w:autoSpaceDN/>
      <w:adjustRightInd/>
      <w:spacing w:before="100" w:beforeAutospacing="1" w:after="100" w:afterAutospacing="1"/>
      <w:textAlignment w:val="auto"/>
    </w:pPr>
    <w:rPr>
      <w:rFonts w:ascii="Times New Roman" w:hAnsi="Times New Roman" w:cs="Times New Roman"/>
      <w:color w:val="auto"/>
      <w:sz w:val="24"/>
      <w:szCs w:val="24"/>
    </w:rPr>
  </w:style>
  <w:style w:type="character" w:styleId="Emphasis">
    <w:name w:val="Emphasis"/>
    <w:uiPriority w:val="20"/>
    <w:qFormat/>
    <w:rsid w:val="00A44346"/>
    <w:rPr>
      <w:i/>
      <w:iCs/>
    </w:rPr>
  </w:style>
  <w:style w:type="character" w:styleId="Strong">
    <w:name w:val="Strong"/>
    <w:aliases w:val="dieu,heading4"/>
    <w:qFormat/>
    <w:rsid w:val="00A44346"/>
    <w:rPr>
      <w:b/>
      <w:bCs/>
    </w:rPr>
  </w:style>
  <w:style w:type="paragraph" w:styleId="Subtitle">
    <w:name w:val="Subtitle"/>
    <w:basedOn w:val="Normal"/>
    <w:link w:val="SubtitleChar"/>
    <w:qFormat/>
    <w:rsid w:val="00A44346"/>
    <w:pPr>
      <w:overflowPunct/>
      <w:autoSpaceDE/>
      <w:autoSpaceDN/>
      <w:adjustRightInd/>
      <w:spacing w:before="120" w:line="400" w:lineRule="exact"/>
      <w:ind w:firstLine="3261"/>
      <w:textAlignment w:val="auto"/>
    </w:pPr>
    <w:rPr>
      <w:rFonts w:ascii=".VnTime" w:hAnsi=".VnTime" w:cs="Times New Roman"/>
      <w:b/>
      <w:color w:val="auto"/>
      <w:sz w:val="28"/>
    </w:rPr>
  </w:style>
  <w:style w:type="character" w:customStyle="1" w:styleId="SubtitleChar">
    <w:name w:val="Subtitle Char"/>
    <w:basedOn w:val="DefaultParagraphFont"/>
    <w:link w:val="Subtitle"/>
    <w:rsid w:val="00A44346"/>
    <w:rPr>
      <w:rFonts w:ascii=".VnTime" w:eastAsia="Times New Roman" w:hAnsi=".VnTime" w:cs="Times New Roman"/>
      <w:b/>
      <w:sz w:val="28"/>
      <w:szCs w:val="20"/>
      <w:lang w:val="en-US"/>
    </w:rPr>
  </w:style>
  <w:style w:type="character" w:customStyle="1" w:styleId="Heading1Char">
    <w:name w:val="Heading 1 Char"/>
    <w:basedOn w:val="DefaultParagraphFont"/>
    <w:uiPriority w:val="9"/>
    <w:rsid w:val="003849A4"/>
    <w:rPr>
      <w:rFonts w:asciiTheme="majorHAnsi" w:eastAsiaTheme="majorEastAsia" w:hAnsiTheme="majorHAnsi" w:cstheme="majorBidi"/>
      <w:color w:val="2E74B5" w:themeColor="accent1" w:themeShade="BF"/>
      <w:sz w:val="32"/>
      <w:szCs w:val="32"/>
      <w:lang w:val="en-US"/>
    </w:rPr>
  </w:style>
  <w:style w:type="character" w:customStyle="1" w:styleId="Heading1Char2">
    <w:name w:val="Heading 1 Char2"/>
    <w:aliases w:val="Heading 1Q Char,dieu1 Char1,Dieu Char,so1 Char,Heading 1 Char Char Char,Heading 31 Char,Heading 311 Char"/>
    <w:link w:val="Heading1"/>
    <w:rsid w:val="003849A4"/>
    <w:rPr>
      <w:rFonts w:ascii=".VnTimeH" w:eastAsia="Times New Roman" w:hAnsi=".VnTimeH" w:cs="Tahoma"/>
      <w:b/>
      <w:bCs/>
      <w:color w:val="000000"/>
      <w:sz w:val="20"/>
      <w:szCs w:val="20"/>
      <w:lang w:val="en-US"/>
    </w:rPr>
  </w:style>
  <w:style w:type="paragraph" w:customStyle="1" w:styleId="ListParagraph">
    <w:name w:val="List Paragraph"/>
    <w:aliases w:val="Heading 41"/>
    <w:basedOn w:val="Normal"/>
    <w:link w:val="ListParagraphChar"/>
    <w:uiPriority w:val="34"/>
    <w:qFormat/>
    <w:rsid w:val="003849A4"/>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aliases w:val="Heading 41 Char"/>
    <w:link w:val="ListParagraph"/>
    <w:uiPriority w:val="34"/>
    <w:rsid w:val="003849A4"/>
    <w:rPr>
      <w:rFonts w:ascii="Calibri" w:eastAsia="Calibri" w:hAnsi="Calibri" w:cs="Tahoma"/>
      <w:color w:val="000000"/>
      <w:lang w:val="en-US"/>
    </w:rPr>
  </w:style>
  <w:style w:type="character" w:styleId="Hyperlink">
    <w:name w:val="Hyperlink"/>
    <w:rsid w:val="003849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2015-08-17T08:57:00Z</dcterms:created>
  <dcterms:modified xsi:type="dcterms:W3CDTF">2015-12-29T08:56:00Z</dcterms:modified>
</cp:coreProperties>
</file>