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4D" w:rsidRPr="00250713" w:rsidRDefault="001F794D" w:rsidP="001F794D">
      <w:pPr>
        <w:pStyle w:val="Title"/>
        <w:spacing w:before="60" w:after="60"/>
        <w:contextualSpacing/>
        <w:rPr>
          <w:rFonts w:ascii="Cambria" w:hAnsi="Cambria"/>
          <w:b/>
          <w:sz w:val="28"/>
          <w:szCs w:val="28"/>
        </w:rPr>
      </w:pPr>
      <w:r w:rsidRPr="00250713">
        <w:rPr>
          <w:rFonts w:ascii="Cambria" w:hAnsi="Cambria"/>
          <w:b/>
          <w:sz w:val="28"/>
          <w:szCs w:val="28"/>
        </w:rPr>
        <w:t>KẾT QUẢ ĐIỀU TRỊ LÕM MẮT TRONG CHẤN THƯƠNG</w:t>
      </w:r>
    </w:p>
    <w:p w:rsidR="001F794D" w:rsidRPr="00250713" w:rsidRDefault="001F794D" w:rsidP="001F794D">
      <w:pPr>
        <w:pStyle w:val="Title"/>
        <w:spacing w:before="60" w:after="60"/>
        <w:contextualSpacing/>
        <w:rPr>
          <w:rFonts w:ascii="Cambria" w:hAnsi="Cambria"/>
          <w:b/>
          <w:sz w:val="28"/>
          <w:szCs w:val="28"/>
        </w:rPr>
      </w:pPr>
      <w:r w:rsidRPr="00250713">
        <w:rPr>
          <w:rFonts w:ascii="Cambria" w:hAnsi="Cambria"/>
          <w:b/>
          <w:sz w:val="28"/>
          <w:szCs w:val="28"/>
        </w:rPr>
        <w:t>GÃY XƯƠNG TẦNG GIỮA MẶT BẰNG XƯƠNG TỰ THÂN</w:t>
      </w:r>
    </w:p>
    <w:p w:rsidR="001F794D" w:rsidRPr="00250713" w:rsidRDefault="001F794D" w:rsidP="001F794D">
      <w:pPr>
        <w:pStyle w:val="Title"/>
        <w:spacing w:before="60" w:after="60"/>
        <w:contextualSpacing/>
        <w:rPr>
          <w:rFonts w:ascii="Cambria" w:hAnsi="Cambria"/>
          <w:b/>
          <w:sz w:val="28"/>
          <w:szCs w:val="28"/>
        </w:rPr>
      </w:pPr>
      <w:r w:rsidRPr="00250713">
        <w:rPr>
          <w:rFonts w:ascii="Cambria" w:hAnsi="Cambria"/>
          <w:b/>
          <w:sz w:val="28"/>
          <w:szCs w:val="28"/>
        </w:rPr>
        <w:t>TẠI BỆNH VIỆN QUÂN Y 103</w:t>
      </w:r>
    </w:p>
    <w:p w:rsidR="001F794D" w:rsidRPr="00250713" w:rsidRDefault="001F794D" w:rsidP="001F794D">
      <w:pPr>
        <w:contextualSpacing/>
        <w:jc w:val="both"/>
        <w:rPr>
          <w:sz w:val="24"/>
          <w:szCs w:val="24"/>
        </w:rPr>
      </w:pPr>
    </w:p>
    <w:p w:rsidR="001F794D" w:rsidRPr="00250713" w:rsidRDefault="001F794D" w:rsidP="001F794D">
      <w:pPr>
        <w:contextualSpacing/>
        <w:jc w:val="right"/>
        <w:rPr>
          <w:rFonts w:ascii="Times New Roman" w:hAnsi="Times New Roman" w:cs="Times New Roman"/>
          <w:b/>
          <w:sz w:val="24"/>
          <w:szCs w:val="24"/>
        </w:rPr>
      </w:pPr>
      <w:r w:rsidRPr="00250713">
        <w:rPr>
          <w:rFonts w:ascii="Times New Roman" w:hAnsi="Times New Roman" w:cs="Times New Roman"/>
          <w:b/>
          <w:sz w:val="24"/>
          <w:szCs w:val="24"/>
        </w:rPr>
        <w:t xml:space="preserve">Lê Mạnh Cường*, Vũ Ngọc Lâm** </w:t>
      </w:r>
    </w:p>
    <w:p w:rsidR="001F794D" w:rsidRDefault="001F794D" w:rsidP="001F794D">
      <w:pPr>
        <w:contextualSpacing/>
        <w:jc w:val="both"/>
        <w:rPr>
          <w:b/>
          <w:sz w:val="24"/>
          <w:szCs w:val="24"/>
        </w:rPr>
      </w:pPr>
    </w:p>
    <w:p w:rsidR="001F794D" w:rsidRPr="00250713" w:rsidRDefault="001F794D" w:rsidP="001F794D">
      <w:pPr>
        <w:contextualSpacing/>
        <w:jc w:val="both"/>
        <w:rPr>
          <w:rFonts w:ascii="Calibri" w:hAnsi="Calibri" w:cs="Calibri"/>
          <w:b/>
          <w:sz w:val="24"/>
          <w:szCs w:val="24"/>
        </w:rPr>
      </w:pPr>
      <w:r w:rsidRPr="00250713">
        <w:rPr>
          <w:rFonts w:ascii="Calibri" w:hAnsi="Calibri" w:cs="Calibri"/>
          <w:b/>
          <w:sz w:val="24"/>
          <w:szCs w:val="24"/>
          <w:lang w:val="vi-VN"/>
        </w:rPr>
        <w:t>TÓM TẮT</w:t>
      </w:r>
      <w:r w:rsidRPr="00250713">
        <w:rPr>
          <w:rStyle w:val="FootnoteReference"/>
          <w:rFonts w:ascii="Calibri" w:hAnsi="Calibri" w:cs="Calibri"/>
          <w:b/>
          <w:sz w:val="24"/>
          <w:szCs w:val="24"/>
          <w:lang w:val="vi-VN"/>
        </w:rPr>
        <w:footnoteReference w:id="1"/>
      </w:r>
    </w:p>
    <w:p w:rsidR="001F794D" w:rsidRPr="00250713" w:rsidRDefault="001F794D" w:rsidP="001F794D">
      <w:pPr>
        <w:ind w:firstLine="360"/>
        <w:contextualSpacing/>
        <w:jc w:val="both"/>
        <w:rPr>
          <w:sz w:val="24"/>
          <w:szCs w:val="24"/>
        </w:rPr>
      </w:pPr>
      <w:r w:rsidRPr="00250713">
        <w:rPr>
          <w:b/>
          <w:sz w:val="24"/>
          <w:szCs w:val="24"/>
        </w:rPr>
        <w:t>Mục đích:</w:t>
      </w:r>
      <w:r w:rsidRPr="00250713">
        <w:rPr>
          <w:sz w:val="24"/>
          <w:szCs w:val="24"/>
        </w:rPr>
        <w:t xml:space="preserve"> Đánh giá kết quả sử dụng xương tự thân để điều trị lõm mắt do tổn khuyết sàn ổ mắt trong chấn thương gãy xương tầng giữa mặt. </w:t>
      </w:r>
      <w:r w:rsidRPr="00250713">
        <w:rPr>
          <w:b/>
          <w:sz w:val="24"/>
          <w:szCs w:val="24"/>
        </w:rPr>
        <w:t>Đối tượng và phương pháp nghiên cứu:</w:t>
      </w:r>
      <w:r w:rsidRPr="00250713">
        <w:rPr>
          <w:sz w:val="24"/>
          <w:szCs w:val="24"/>
        </w:rPr>
        <w:t xml:space="preserve"> Tiến cứu, mô tả cắt ngang</w:t>
      </w:r>
      <w:r w:rsidRPr="00250713">
        <w:rPr>
          <w:sz w:val="24"/>
          <w:szCs w:val="24"/>
          <w:lang w:val="vi-VN"/>
        </w:rPr>
        <w:t xml:space="preserve"> trên </w:t>
      </w:r>
      <w:r w:rsidRPr="00250713">
        <w:rPr>
          <w:sz w:val="24"/>
          <w:szCs w:val="24"/>
        </w:rPr>
        <w:t>15</w:t>
      </w:r>
      <w:r w:rsidRPr="00250713">
        <w:rPr>
          <w:sz w:val="24"/>
          <w:szCs w:val="24"/>
          <w:lang w:val="vi-VN"/>
        </w:rPr>
        <w:t xml:space="preserve"> bệnh nhân (BN)</w:t>
      </w:r>
      <w:r w:rsidRPr="00250713">
        <w:rPr>
          <w:sz w:val="24"/>
          <w:szCs w:val="24"/>
        </w:rPr>
        <w:t xml:space="preserve"> bị lõm mắt trong chấn thương </w:t>
      </w:r>
      <w:r w:rsidRPr="00250713">
        <w:rPr>
          <w:sz w:val="24"/>
          <w:szCs w:val="24"/>
          <w:lang w:val="vi-VN"/>
        </w:rPr>
        <w:t xml:space="preserve">gãy xương tầng giữa mặt có tổn khuyết </w:t>
      </w:r>
      <w:r w:rsidRPr="00250713">
        <w:rPr>
          <w:sz w:val="24"/>
          <w:szCs w:val="24"/>
        </w:rPr>
        <w:t xml:space="preserve">lớn </w:t>
      </w:r>
      <w:r w:rsidRPr="00250713">
        <w:rPr>
          <w:sz w:val="24"/>
          <w:szCs w:val="24"/>
          <w:lang w:val="vi-VN"/>
        </w:rPr>
        <w:t xml:space="preserve">sàn ổ mắt </w:t>
      </w:r>
      <w:r w:rsidRPr="00250713">
        <w:rPr>
          <w:sz w:val="24"/>
          <w:szCs w:val="24"/>
        </w:rPr>
        <w:t xml:space="preserve">(SOM) </w:t>
      </w:r>
      <w:r w:rsidRPr="00250713">
        <w:rPr>
          <w:sz w:val="24"/>
          <w:szCs w:val="24"/>
          <w:lang w:val="vi-VN"/>
        </w:rPr>
        <w:t xml:space="preserve">được phẫu thuật </w:t>
      </w:r>
      <w:r w:rsidRPr="00250713">
        <w:rPr>
          <w:sz w:val="24"/>
          <w:szCs w:val="24"/>
        </w:rPr>
        <w:t xml:space="preserve">nắn chỉnh kết xương và </w:t>
      </w:r>
      <w:r w:rsidRPr="00250713">
        <w:rPr>
          <w:sz w:val="24"/>
          <w:szCs w:val="24"/>
          <w:lang w:val="vi-VN"/>
        </w:rPr>
        <w:t>phục h</w:t>
      </w:r>
      <w:r w:rsidRPr="00250713">
        <w:rPr>
          <w:sz w:val="24"/>
          <w:szCs w:val="24"/>
        </w:rPr>
        <w:t>ồi</w:t>
      </w:r>
      <w:r w:rsidRPr="00250713">
        <w:rPr>
          <w:sz w:val="24"/>
          <w:szCs w:val="24"/>
          <w:lang w:val="vi-VN"/>
        </w:rPr>
        <w:t xml:space="preserve"> </w:t>
      </w:r>
      <w:r w:rsidRPr="00250713">
        <w:rPr>
          <w:sz w:val="24"/>
          <w:szCs w:val="24"/>
        </w:rPr>
        <w:t xml:space="preserve">SOM </w:t>
      </w:r>
      <w:r w:rsidRPr="00250713">
        <w:rPr>
          <w:sz w:val="24"/>
          <w:szCs w:val="24"/>
          <w:lang w:val="vi-VN"/>
        </w:rPr>
        <w:t xml:space="preserve">bằng </w:t>
      </w:r>
      <w:r w:rsidRPr="00250713">
        <w:rPr>
          <w:sz w:val="24"/>
          <w:szCs w:val="24"/>
        </w:rPr>
        <w:t xml:space="preserve">xương tự thân </w:t>
      </w:r>
      <w:r w:rsidRPr="00250713">
        <w:rPr>
          <w:sz w:val="24"/>
          <w:szCs w:val="24"/>
          <w:lang w:val="vi-VN"/>
        </w:rPr>
        <w:t xml:space="preserve">tại khoa </w:t>
      </w:r>
      <w:r w:rsidRPr="00250713">
        <w:rPr>
          <w:sz w:val="24"/>
          <w:szCs w:val="24"/>
        </w:rPr>
        <w:t>P</w:t>
      </w:r>
      <w:r w:rsidRPr="00250713">
        <w:rPr>
          <w:sz w:val="24"/>
          <w:szCs w:val="24"/>
          <w:lang w:val="vi-VN"/>
        </w:rPr>
        <w:t>hẫu thuật Hàm mặt-</w:t>
      </w:r>
      <w:r w:rsidRPr="00250713">
        <w:rPr>
          <w:sz w:val="24"/>
          <w:szCs w:val="24"/>
        </w:rPr>
        <w:t xml:space="preserve"> </w:t>
      </w:r>
      <w:r w:rsidRPr="00250713">
        <w:rPr>
          <w:sz w:val="24"/>
          <w:szCs w:val="24"/>
          <w:lang w:val="vi-VN"/>
        </w:rPr>
        <w:t xml:space="preserve">Bệnh viện 103 từ tháng </w:t>
      </w:r>
      <w:r w:rsidRPr="00250713">
        <w:rPr>
          <w:sz w:val="24"/>
          <w:szCs w:val="24"/>
        </w:rPr>
        <w:t>7</w:t>
      </w:r>
      <w:r w:rsidRPr="00250713">
        <w:rPr>
          <w:sz w:val="24"/>
          <w:szCs w:val="24"/>
          <w:lang w:val="vi-VN"/>
        </w:rPr>
        <w:t>/ 201</w:t>
      </w:r>
      <w:r w:rsidRPr="00250713">
        <w:rPr>
          <w:sz w:val="24"/>
          <w:szCs w:val="24"/>
        </w:rPr>
        <w:t>1</w:t>
      </w:r>
      <w:r w:rsidRPr="00250713">
        <w:rPr>
          <w:sz w:val="24"/>
          <w:szCs w:val="24"/>
          <w:lang w:val="vi-VN"/>
        </w:rPr>
        <w:t xml:space="preserve"> đến tháng </w:t>
      </w:r>
      <w:r w:rsidRPr="00250713">
        <w:rPr>
          <w:sz w:val="24"/>
          <w:szCs w:val="24"/>
        </w:rPr>
        <w:t>7</w:t>
      </w:r>
      <w:r w:rsidRPr="00250713">
        <w:rPr>
          <w:sz w:val="24"/>
          <w:szCs w:val="24"/>
          <w:lang w:val="vi-VN"/>
        </w:rPr>
        <w:t>/ 201</w:t>
      </w:r>
      <w:r w:rsidRPr="00250713">
        <w:rPr>
          <w:sz w:val="24"/>
          <w:szCs w:val="24"/>
        </w:rPr>
        <w:t>3</w:t>
      </w:r>
      <w:r w:rsidRPr="00250713">
        <w:rPr>
          <w:sz w:val="24"/>
          <w:szCs w:val="24"/>
          <w:lang w:val="vi-VN"/>
        </w:rPr>
        <w:t>.</w:t>
      </w:r>
      <w:r w:rsidRPr="00250713">
        <w:rPr>
          <w:sz w:val="24"/>
          <w:szCs w:val="24"/>
        </w:rPr>
        <w:t xml:space="preserve"> </w:t>
      </w:r>
      <w:r w:rsidRPr="00250713">
        <w:rPr>
          <w:b/>
          <w:sz w:val="24"/>
          <w:szCs w:val="24"/>
        </w:rPr>
        <w:t>Kết quả gần</w:t>
      </w:r>
      <w:r w:rsidRPr="00250713">
        <w:rPr>
          <w:sz w:val="24"/>
          <w:szCs w:val="24"/>
        </w:rPr>
        <w:t xml:space="preserve"> (khi ra viện): </w:t>
      </w:r>
      <w:r w:rsidRPr="00250713">
        <w:rPr>
          <w:sz w:val="24"/>
          <w:szCs w:val="24"/>
          <w:lang w:val="de-DE"/>
        </w:rPr>
        <w:t xml:space="preserve">Tốt:  14/15 BN không hoặc lõm mắt kín đáo độ 1 chiếm tỷ lệ 93,3%. Khá: 1/15 BN lõm mắt độ 2 chiếm tỷ lệ 6,7% và không có kết quả kém. </w:t>
      </w:r>
      <w:r w:rsidRPr="00250713">
        <w:rPr>
          <w:b/>
          <w:sz w:val="24"/>
          <w:szCs w:val="24"/>
        </w:rPr>
        <w:t>Kết quả xa</w:t>
      </w:r>
      <w:r w:rsidRPr="00250713">
        <w:rPr>
          <w:sz w:val="24"/>
          <w:szCs w:val="24"/>
        </w:rPr>
        <w:t xml:space="preserve"> (sau PT 6 tháng): </w:t>
      </w:r>
      <w:r w:rsidRPr="00250713">
        <w:rPr>
          <w:sz w:val="24"/>
          <w:szCs w:val="24"/>
          <w:lang w:val="de-DE"/>
        </w:rPr>
        <w:t>Tốt: 12/15 BN không hoặc lõm mắt kín đáo độ 1 chiếm tỷ lệ 80%. Khá: 3/15 BN lõm mắt độ 2 chiếm tỷ lệ 20% và không có kết quả kém.</w:t>
      </w:r>
      <w:r w:rsidRPr="00250713">
        <w:rPr>
          <w:sz w:val="24"/>
          <w:szCs w:val="24"/>
        </w:rPr>
        <w:t xml:space="preserve"> Trong nghiên cứu </w:t>
      </w:r>
      <w:r w:rsidRPr="00250713">
        <w:rPr>
          <w:sz w:val="24"/>
          <w:szCs w:val="24"/>
          <w:lang w:val="de-DE"/>
        </w:rPr>
        <w:t>chúng tôi không gặp biến chứng nhiễm trùng hay đào thải mảnh xương ghép trên bất cứ trường hợp nào.</w:t>
      </w:r>
    </w:p>
    <w:p w:rsidR="001F794D" w:rsidRPr="00250713" w:rsidRDefault="001F794D" w:rsidP="001F794D">
      <w:pPr>
        <w:ind w:firstLine="360"/>
        <w:contextualSpacing/>
        <w:jc w:val="both"/>
        <w:rPr>
          <w:sz w:val="24"/>
          <w:szCs w:val="24"/>
        </w:rPr>
      </w:pPr>
      <w:r w:rsidRPr="00250713">
        <w:rPr>
          <w:b/>
          <w:i/>
          <w:sz w:val="24"/>
          <w:szCs w:val="24"/>
        </w:rPr>
        <w:t>Từ khóa:</w:t>
      </w:r>
      <w:r w:rsidRPr="00250713">
        <w:rPr>
          <w:sz w:val="24"/>
          <w:szCs w:val="24"/>
        </w:rPr>
        <w:t xml:space="preserve"> Lõm mắt; Gãy sàn ổ mắt.</w:t>
      </w:r>
    </w:p>
    <w:p w:rsidR="001F794D" w:rsidRPr="00250713" w:rsidRDefault="001F794D" w:rsidP="001F794D">
      <w:pPr>
        <w:contextualSpacing/>
        <w:jc w:val="both"/>
        <w:rPr>
          <w:b/>
          <w:sz w:val="24"/>
          <w:szCs w:val="24"/>
        </w:rPr>
      </w:pPr>
    </w:p>
    <w:p w:rsidR="001F794D" w:rsidRPr="00250713" w:rsidRDefault="001F794D" w:rsidP="001F794D">
      <w:pPr>
        <w:contextualSpacing/>
        <w:jc w:val="both"/>
        <w:rPr>
          <w:rFonts w:ascii="Calibri" w:hAnsi="Calibri" w:cs="Calibri"/>
          <w:b/>
          <w:sz w:val="24"/>
          <w:szCs w:val="24"/>
        </w:rPr>
      </w:pPr>
      <w:r w:rsidRPr="00250713">
        <w:rPr>
          <w:rFonts w:ascii="Calibri" w:hAnsi="Calibri" w:cs="Calibri"/>
          <w:b/>
          <w:sz w:val="24"/>
          <w:szCs w:val="24"/>
        </w:rPr>
        <w:t>SUMMARY</w:t>
      </w:r>
    </w:p>
    <w:p w:rsidR="001F794D" w:rsidRPr="00250713" w:rsidRDefault="001F794D" w:rsidP="001F794D">
      <w:pPr>
        <w:contextualSpacing/>
        <w:jc w:val="center"/>
        <w:rPr>
          <w:b/>
          <w:sz w:val="24"/>
          <w:szCs w:val="24"/>
        </w:rPr>
      </w:pPr>
      <w:r w:rsidRPr="00250713">
        <w:rPr>
          <w:b/>
          <w:sz w:val="24"/>
          <w:szCs w:val="24"/>
        </w:rPr>
        <w:t>THE OUT COME OF ENOPHTHALMOS TREATMENT IN MIDFACE TRAUMATIC FRACTURES WITH AUTOGENOUS BONE</w:t>
      </w:r>
    </w:p>
    <w:p w:rsidR="001F794D" w:rsidRPr="00250713" w:rsidRDefault="001F794D" w:rsidP="001F794D">
      <w:pPr>
        <w:contextualSpacing/>
        <w:jc w:val="center"/>
        <w:rPr>
          <w:b/>
          <w:sz w:val="24"/>
          <w:szCs w:val="24"/>
        </w:rPr>
      </w:pPr>
      <w:r w:rsidRPr="00250713">
        <w:rPr>
          <w:b/>
          <w:sz w:val="24"/>
          <w:szCs w:val="24"/>
        </w:rPr>
        <w:t>IN MILITARY HOSPITAL 103</w:t>
      </w:r>
    </w:p>
    <w:p w:rsidR="001F794D" w:rsidRPr="00250713" w:rsidRDefault="001F794D" w:rsidP="001F794D">
      <w:pPr>
        <w:ind w:firstLine="360"/>
        <w:contextualSpacing/>
        <w:jc w:val="both"/>
        <w:rPr>
          <w:spacing w:val="-2"/>
          <w:sz w:val="24"/>
          <w:szCs w:val="24"/>
        </w:rPr>
      </w:pPr>
      <w:r w:rsidRPr="00250713">
        <w:rPr>
          <w:b/>
          <w:spacing w:val="-2"/>
          <w:sz w:val="24"/>
          <w:szCs w:val="24"/>
        </w:rPr>
        <w:t>Objective:</w:t>
      </w:r>
      <w:r w:rsidRPr="00250713">
        <w:rPr>
          <w:spacing w:val="-2"/>
          <w:sz w:val="24"/>
          <w:szCs w:val="24"/>
        </w:rPr>
        <w:t xml:space="preserve"> The accessment of using autogenous bone for the treatment of enophthalmos after orbital floor defect in midface traumatic fractures. </w:t>
      </w:r>
      <w:r w:rsidRPr="00250713">
        <w:rPr>
          <w:b/>
          <w:spacing w:val="-2"/>
          <w:sz w:val="24"/>
          <w:szCs w:val="24"/>
        </w:rPr>
        <w:t>Subjects and Methods:</w:t>
      </w:r>
      <w:r w:rsidRPr="00250713">
        <w:rPr>
          <w:i/>
          <w:spacing w:val="-2"/>
          <w:sz w:val="24"/>
          <w:szCs w:val="24"/>
        </w:rPr>
        <w:t xml:space="preserve"> </w:t>
      </w:r>
      <w:r w:rsidRPr="00250713">
        <w:rPr>
          <w:iCs/>
          <w:spacing w:val="-2"/>
          <w:sz w:val="24"/>
          <w:szCs w:val="24"/>
          <w:shd w:val="clear" w:color="auto" w:fill="FFFFFF"/>
        </w:rPr>
        <w:t>A prospective, cross study</w:t>
      </w:r>
      <w:r w:rsidRPr="00250713">
        <w:rPr>
          <w:spacing w:val="-2"/>
          <w:sz w:val="24"/>
          <w:szCs w:val="24"/>
        </w:rPr>
        <w:t xml:space="preserve"> on the 15 patients suffered from large orbital floor defect in the midface traumatic fractures. The treatment procedures contain fracments reduction, bone fixation and  autogenous bone graft in the fractured orbital floor. The study conducted  in Maxillo facial and plastic surgery Department, Hospital 103, from july, 2011 to july, 2013. The outcome: </w:t>
      </w:r>
      <w:r w:rsidRPr="00250713">
        <w:rPr>
          <w:b/>
          <w:spacing w:val="-2"/>
          <w:sz w:val="24"/>
          <w:szCs w:val="24"/>
        </w:rPr>
        <w:t>Before 6 month postoperatively</w:t>
      </w:r>
      <w:r w:rsidRPr="00250713">
        <w:rPr>
          <w:spacing w:val="-2"/>
          <w:sz w:val="24"/>
          <w:szCs w:val="24"/>
        </w:rPr>
        <w:t xml:space="preserve">, we have got 14 patients (93,3%) degree 0-1 of enophthalmos with good result, 1 patients (6,7%) degree 2 of enophthalmos with fair result and 0 patients degree 3 of enophthalmos with poor result. </w:t>
      </w:r>
      <w:r w:rsidRPr="00250713">
        <w:rPr>
          <w:b/>
          <w:spacing w:val="-2"/>
          <w:sz w:val="24"/>
          <w:szCs w:val="24"/>
        </w:rPr>
        <w:t>The longtime follow-up:</w:t>
      </w:r>
      <w:r w:rsidRPr="00250713">
        <w:rPr>
          <w:spacing w:val="-2"/>
          <w:sz w:val="24"/>
          <w:szCs w:val="24"/>
        </w:rPr>
        <w:t xml:space="preserve"> 12 patients (80%) degree 0-1 of enophthalmos with good result, 3 patients (20%) degree 2 of enophthalmos with fair result and 0 patients (0%) degree 3 of enophthalmos with poor result. In our series, we fortunately did not encounter any complifications:</w:t>
      </w:r>
      <w:r w:rsidRPr="00250713">
        <w:rPr>
          <w:spacing w:val="-2"/>
          <w:sz w:val="24"/>
          <w:szCs w:val="24"/>
          <w:shd w:val="clear" w:color="auto" w:fill="FFFFFF"/>
        </w:rPr>
        <w:t xml:space="preserve"> foreign body reaction</w:t>
      </w:r>
      <w:r w:rsidRPr="00250713">
        <w:rPr>
          <w:spacing w:val="-2"/>
          <w:sz w:val="24"/>
          <w:szCs w:val="24"/>
        </w:rPr>
        <w:t>, infection.</w:t>
      </w:r>
    </w:p>
    <w:p w:rsidR="001F794D" w:rsidRPr="00250713" w:rsidRDefault="001F794D" w:rsidP="001F794D">
      <w:pPr>
        <w:ind w:firstLine="360"/>
        <w:contextualSpacing/>
        <w:jc w:val="both"/>
        <w:rPr>
          <w:sz w:val="24"/>
          <w:szCs w:val="24"/>
        </w:rPr>
      </w:pPr>
      <w:r w:rsidRPr="00250713">
        <w:rPr>
          <w:b/>
          <w:i/>
          <w:sz w:val="24"/>
          <w:szCs w:val="24"/>
        </w:rPr>
        <w:t>Keywords:</w:t>
      </w:r>
      <w:r w:rsidRPr="00250713">
        <w:rPr>
          <w:sz w:val="24"/>
          <w:szCs w:val="24"/>
        </w:rPr>
        <w:t xml:space="preserve"> Enophthalmos; Orbital floor fractures.</w:t>
      </w:r>
    </w:p>
    <w:p w:rsidR="008256DB" w:rsidRPr="001F794D" w:rsidRDefault="008256DB" w:rsidP="001F794D"/>
    <w:sectPr w:rsidR="008256DB" w:rsidRPr="001F794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E8" w:rsidRDefault="009143E8" w:rsidP="00FF0E3B">
      <w:r>
        <w:separator/>
      </w:r>
    </w:p>
  </w:endnote>
  <w:endnote w:type="continuationSeparator" w:id="0">
    <w:p w:rsidR="009143E8" w:rsidRDefault="009143E8" w:rsidP="00FF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E8" w:rsidRDefault="009143E8" w:rsidP="00FF0E3B">
      <w:r>
        <w:separator/>
      </w:r>
    </w:p>
  </w:footnote>
  <w:footnote w:type="continuationSeparator" w:id="0">
    <w:p w:rsidR="009143E8" w:rsidRDefault="009143E8" w:rsidP="00FF0E3B">
      <w:r>
        <w:continuationSeparator/>
      </w:r>
    </w:p>
  </w:footnote>
  <w:footnote w:id="1">
    <w:p w:rsidR="001F794D" w:rsidRDefault="001F794D" w:rsidP="001F794D">
      <w:pPr>
        <w:contextualSpacing/>
        <w:jc w:val="both"/>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30954"/>
    <w:multiLevelType w:val="hybridMultilevel"/>
    <w:tmpl w:val="CCB26024"/>
    <w:lvl w:ilvl="0" w:tplc="61A0986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1A839F2"/>
    <w:multiLevelType w:val="hybridMultilevel"/>
    <w:tmpl w:val="89CE347E"/>
    <w:lvl w:ilvl="0" w:tplc="0714FEB8">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EF"/>
    <w:rsid w:val="00185EE7"/>
    <w:rsid w:val="001B5C5A"/>
    <w:rsid w:val="001F794D"/>
    <w:rsid w:val="008256DB"/>
    <w:rsid w:val="008418EB"/>
    <w:rsid w:val="009143E8"/>
    <w:rsid w:val="009F18EF"/>
    <w:rsid w:val="00E571A5"/>
    <w:rsid w:val="00FF0E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025AA-8431-4663-AB21-7AB2089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3B"/>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E3B"/>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FF0E3B"/>
    <w:rPr>
      <w:vertAlign w:val="superscript"/>
    </w:rPr>
  </w:style>
  <w:style w:type="paragraph" w:styleId="BodyText2">
    <w:name w:val="Body Text 2"/>
    <w:basedOn w:val="Normal"/>
    <w:link w:val="BodyText2Char1"/>
    <w:rsid w:val="00FF0E3B"/>
    <w:pPr>
      <w:overflowPunct/>
      <w:autoSpaceDE/>
      <w:autoSpaceDN/>
      <w:adjustRightInd/>
      <w:spacing w:after="120" w:line="480" w:lineRule="auto"/>
      <w:textAlignment w:val="auto"/>
    </w:pPr>
    <w:rPr>
      <w:sz w:val="28"/>
      <w:szCs w:val="24"/>
    </w:rPr>
  </w:style>
  <w:style w:type="character" w:customStyle="1" w:styleId="BodyText2Char">
    <w:name w:val="Body Text 2 Char"/>
    <w:basedOn w:val="DefaultParagraphFont"/>
    <w:uiPriority w:val="99"/>
    <w:semiHidden/>
    <w:rsid w:val="00FF0E3B"/>
    <w:rPr>
      <w:rFonts w:ascii="Tahoma" w:eastAsia="Times New Roman" w:hAnsi="Tahoma" w:cs="Tahoma"/>
      <w:color w:val="000000"/>
      <w:sz w:val="20"/>
      <w:szCs w:val="20"/>
      <w:lang w:val="en-US"/>
    </w:rPr>
  </w:style>
  <w:style w:type="character" w:customStyle="1" w:styleId="BodyText2Char1">
    <w:name w:val="Body Text 2 Char1"/>
    <w:link w:val="BodyText2"/>
    <w:rsid w:val="00FF0E3B"/>
    <w:rPr>
      <w:rFonts w:ascii="Tahoma" w:eastAsia="Times New Roman" w:hAnsi="Tahoma" w:cs="Tahoma"/>
      <w:color w:val="000000"/>
      <w:sz w:val="28"/>
      <w:szCs w:val="24"/>
      <w:lang w:val="en-US"/>
    </w:rPr>
  </w:style>
  <w:style w:type="paragraph" w:styleId="Title">
    <w:name w:val="Title"/>
    <w:aliases w:val="DIEU1"/>
    <w:basedOn w:val="Normal"/>
    <w:link w:val="TitleChar2"/>
    <w:qFormat/>
    <w:rsid w:val="001F794D"/>
    <w:pPr>
      <w:overflowPunct/>
      <w:autoSpaceDE/>
      <w:autoSpaceDN/>
      <w:adjustRightInd/>
      <w:jc w:val="center"/>
      <w:textAlignment w:val="auto"/>
    </w:pPr>
    <w:rPr>
      <w:rFonts w:ascii=".VnTimeH" w:hAnsi=".VnTimeH"/>
      <w:sz w:val="36"/>
    </w:rPr>
  </w:style>
  <w:style w:type="character" w:customStyle="1" w:styleId="TitleChar">
    <w:name w:val="Title Char"/>
    <w:basedOn w:val="DefaultParagraphFont"/>
    <w:uiPriority w:val="10"/>
    <w:rsid w:val="001F794D"/>
    <w:rPr>
      <w:rFonts w:asciiTheme="majorHAnsi" w:eastAsiaTheme="majorEastAsia" w:hAnsiTheme="majorHAnsi" w:cstheme="majorBidi"/>
      <w:spacing w:val="-10"/>
      <w:kern w:val="28"/>
      <w:sz w:val="56"/>
      <w:szCs w:val="56"/>
      <w:lang w:val="en-US"/>
    </w:rPr>
  </w:style>
  <w:style w:type="character" w:customStyle="1" w:styleId="TitleChar2">
    <w:name w:val="Title Char2"/>
    <w:aliases w:val="DIEU1 Char"/>
    <w:link w:val="Title"/>
    <w:locked/>
    <w:rsid w:val="001F794D"/>
    <w:rPr>
      <w:rFonts w:ascii=".VnTimeH" w:eastAsia="Times New Roman" w:hAnsi=".VnTimeH" w:cs="Tahoma"/>
      <w:color w:val="00000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2015-08-17T02:56:00Z</dcterms:created>
  <dcterms:modified xsi:type="dcterms:W3CDTF">2015-12-29T08:33:00Z</dcterms:modified>
</cp:coreProperties>
</file>