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5E" w:rsidRPr="006B6D78" w:rsidRDefault="00FC765E" w:rsidP="00FC765E">
      <w:pPr>
        <w:spacing w:before="80" w:after="80"/>
        <w:contextualSpacing/>
        <w:jc w:val="center"/>
        <w:rPr>
          <w:rFonts w:ascii="Cambria" w:hAnsi="Cambria"/>
          <w:b/>
          <w:sz w:val="28"/>
          <w:szCs w:val="28"/>
        </w:rPr>
      </w:pPr>
      <w:r w:rsidRPr="006B6D78">
        <w:rPr>
          <w:rFonts w:ascii="Cambria" w:hAnsi="Cambria"/>
          <w:b/>
          <w:sz w:val="28"/>
          <w:szCs w:val="28"/>
        </w:rPr>
        <w:t>V</w:t>
      </w:r>
      <w:bookmarkStart w:id="0" w:name="_Ref306767973"/>
      <w:bookmarkStart w:id="1" w:name="_Ref306768030"/>
      <w:bookmarkStart w:id="2" w:name="_Ref306768097"/>
      <w:bookmarkStart w:id="3" w:name="_Ref306768170"/>
      <w:bookmarkStart w:id="4" w:name="_Ref306768200"/>
      <w:bookmarkStart w:id="5" w:name="_Ref306768222"/>
      <w:bookmarkStart w:id="6" w:name="_Ref306768237"/>
      <w:bookmarkStart w:id="7" w:name="_Ref306768325"/>
      <w:bookmarkStart w:id="8" w:name="_Ref306768358"/>
      <w:bookmarkStart w:id="9" w:name="_Ref306768373"/>
      <w:bookmarkStart w:id="10" w:name="_Ref306768394"/>
      <w:bookmarkStart w:id="11" w:name="_Ref306768411"/>
      <w:bookmarkStart w:id="12" w:name="_Ref306768423"/>
      <w:bookmarkStart w:id="13" w:name="_Ref306768435"/>
      <w:bookmarkStart w:id="14" w:name="_Ref306768451"/>
      <w:bookmarkStart w:id="15" w:name="_Ref306768479"/>
      <w:bookmarkStart w:id="16" w:name="_Ref306768493"/>
      <w:bookmarkStart w:id="17" w:name="_Ref306768516"/>
      <w:bookmarkStart w:id="18" w:name="_Ref306768550"/>
      <w:bookmarkStart w:id="19" w:name="_Ref306768563"/>
      <w:bookmarkStart w:id="20" w:name="_Ref306768595"/>
      <w:bookmarkStart w:id="21" w:name="_Ref306768618"/>
      <w:bookmarkStart w:id="22" w:name="_Ref306768642"/>
      <w:bookmarkStart w:id="23" w:name="_Ref306768667"/>
      <w:bookmarkStart w:id="24" w:name="_Ref306771399"/>
      <w:bookmarkStart w:id="25" w:name="_Ref306814835"/>
      <w:bookmarkStart w:id="26" w:name="_Ref3068149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6B6D78">
        <w:rPr>
          <w:rFonts w:ascii="Cambria" w:hAnsi="Cambria"/>
          <w:b/>
          <w:sz w:val="28"/>
          <w:szCs w:val="28"/>
        </w:rPr>
        <w:t>AI TRÒ CỦA KẾT HỢP TỐC ĐỘ DÒNG CHẢY TRUNG BÌNH</w:t>
      </w:r>
    </w:p>
    <w:p w:rsidR="00FC765E" w:rsidRPr="006B6D78" w:rsidRDefault="00FC765E" w:rsidP="00FC765E">
      <w:pPr>
        <w:spacing w:before="80" w:after="80"/>
        <w:contextualSpacing/>
        <w:jc w:val="center"/>
        <w:rPr>
          <w:rFonts w:ascii="Cambria" w:hAnsi="Cambria"/>
          <w:b/>
          <w:sz w:val="28"/>
          <w:szCs w:val="28"/>
        </w:rPr>
      </w:pPr>
      <w:r w:rsidRPr="006B6D78">
        <w:rPr>
          <w:rFonts w:ascii="Cambria" w:hAnsi="Cambria"/>
          <w:b/>
          <w:sz w:val="28"/>
          <w:szCs w:val="28"/>
        </w:rPr>
        <w:t>VÀ CHỈ SỐ LINDEGAARD ĐO BẰNG SIÊU ÂM DOPPLER XUYÊN SỌ TRONG CHẨN ĐOÁN CO THẮT MẠCH NÃO</w:t>
      </w:r>
    </w:p>
    <w:p w:rsidR="00FC765E" w:rsidRPr="006B6D78" w:rsidRDefault="00FC765E" w:rsidP="00FC765E">
      <w:pPr>
        <w:spacing w:before="80" w:after="80"/>
        <w:contextualSpacing/>
        <w:jc w:val="center"/>
        <w:rPr>
          <w:rFonts w:ascii="Cambria" w:hAnsi="Cambria"/>
          <w:b/>
          <w:sz w:val="28"/>
          <w:szCs w:val="28"/>
        </w:rPr>
      </w:pPr>
      <w:r w:rsidRPr="006B6D78">
        <w:rPr>
          <w:rFonts w:ascii="Cambria" w:hAnsi="Cambria"/>
          <w:b/>
          <w:sz w:val="28"/>
          <w:szCs w:val="28"/>
        </w:rPr>
        <w:t>Ở BỆNH NHÂN CHẤN THƯƠNG SỌ NÃO NẶNG</w:t>
      </w:r>
    </w:p>
    <w:p w:rsidR="00FC765E" w:rsidRPr="00D034AB" w:rsidRDefault="00FC765E" w:rsidP="00FC765E">
      <w:pPr>
        <w:contextualSpacing/>
        <w:jc w:val="both"/>
        <w:rPr>
          <w:b/>
          <w:i/>
          <w:sz w:val="24"/>
          <w:szCs w:val="24"/>
        </w:rPr>
      </w:pPr>
    </w:p>
    <w:p w:rsidR="00FC765E" w:rsidRPr="00D034AB" w:rsidRDefault="00FC765E" w:rsidP="00FC765E">
      <w:pPr>
        <w:contextualSpacing/>
        <w:jc w:val="right"/>
        <w:rPr>
          <w:rFonts w:ascii="Times New Roman" w:hAnsi="Times New Roman"/>
          <w:b/>
          <w:sz w:val="24"/>
          <w:szCs w:val="24"/>
          <w:lang w:val="vi-VN"/>
        </w:rPr>
      </w:pPr>
      <w:r w:rsidRPr="00D034AB">
        <w:rPr>
          <w:rFonts w:ascii="Times New Roman" w:hAnsi="Times New Roman"/>
          <w:b/>
          <w:sz w:val="24"/>
          <w:szCs w:val="24"/>
        </w:rPr>
        <w:t>Lưu Quang Thuỳ*, Hoàng Bùi Hải**</w:t>
      </w:r>
    </w:p>
    <w:p w:rsidR="00FC765E" w:rsidRDefault="00FC765E" w:rsidP="00FC765E">
      <w:pPr>
        <w:widowControl w:val="0"/>
        <w:contextualSpacing/>
        <w:jc w:val="both"/>
        <w:rPr>
          <w:b/>
          <w:bCs/>
          <w:sz w:val="24"/>
          <w:szCs w:val="24"/>
        </w:rPr>
      </w:pPr>
    </w:p>
    <w:p w:rsidR="00FC765E" w:rsidRPr="00D034AB" w:rsidRDefault="00FC765E" w:rsidP="00FC765E">
      <w:pPr>
        <w:widowControl w:val="0"/>
        <w:contextualSpacing/>
        <w:jc w:val="both"/>
        <w:rPr>
          <w:rFonts w:ascii="Calibri" w:hAnsi="Calibri" w:cs="Calibri"/>
          <w:b/>
          <w:sz w:val="24"/>
          <w:szCs w:val="24"/>
        </w:rPr>
      </w:pPr>
      <w:r w:rsidRPr="00D034AB">
        <w:rPr>
          <w:rFonts w:ascii="Calibri" w:hAnsi="Calibri" w:cs="Calibri"/>
          <w:b/>
          <w:sz w:val="24"/>
          <w:szCs w:val="24"/>
          <w:lang w:val="vi-VN"/>
        </w:rPr>
        <w:t>TÓM TẮT</w:t>
      </w:r>
      <w:r w:rsidRPr="00D034AB">
        <w:rPr>
          <w:rStyle w:val="FootnoteReference"/>
          <w:rFonts w:ascii="Calibri" w:hAnsi="Calibri" w:cs="Calibri"/>
          <w:b/>
          <w:sz w:val="24"/>
          <w:szCs w:val="24"/>
          <w:lang w:val="vi-VN"/>
        </w:rPr>
        <w:footnoteReference w:id="1"/>
      </w:r>
    </w:p>
    <w:p w:rsidR="00FC765E" w:rsidRPr="00D034AB" w:rsidRDefault="00FC765E" w:rsidP="00FC765E">
      <w:pPr>
        <w:widowControl w:val="0"/>
        <w:ind w:firstLine="360"/>
        <w:contextualSpacing/>
        <w:jc w:val="both"/>
        <w:rPr>
          <w:noProof/>
          <w:sz w:val="24"/>
          <w:szCs w:val="24"/>
          <w:lang w:val="vi-VN"/>
        </w:rPr>
      </w:pPr>
      <w:r w:rsidRPr="00D034AB">
        <w:rPr>
          <w:sz w:val="24"/>
          <w:szCs w:val="24"/>
          <w:lang w:val="vi-VN"/>
        </w:rPr>
        <w:t>Co thắt mạch não sau chấn thương sọ não nặng là một biến chứng thường gặp, cần phát hiện sớm và xử trí kịp thời. Nghiên cứu thu thập được 93 bệnh nhân chấn thương sọ não nặng (</w:t>
      </w:r>
      <w:r w:rsidRPr="00D034AB">
        <w:rPr>
          <w:sz w:val="24"/>
          <w:szCs w:val="24"/>
        </w:rPr>
        <w:t xml:space="preserve">Glasgow ≤ 8 điểm), được làm siêu âm Doppler xuyên sọ và cắt lớp vi tính 64 dãy. Đây là nghiên cứu mô tả cắt ngang. Giá trị chẩn đoán co thắt mạch não bằng siêu âm Doppler xuyên sọ so với cắt lớp vi tính sọ não 64 dãy mạch não có  độ nhạy là 94% (95% CI: 81,4%-98,4%); độ đặc hiệu: 94% (95% CI: 85,7%-98,2%); giá trị dự báo dương tính: 92% (95% CI: 78,2%-97,1%); giá trị dự báo âm tính: 96,5% (95% CI: 88%-97,7%). Từ ngày thứ 6 đến thứ 8 có 38,7% bệnh nhân bị co thắt động mạch não. Nguy co thắt mạch não cao ở bệnh nhân xuất huyết dưới nhện, OR = 306 (95%CI: 48,6-1926). Kết hợp tốc độ dòng chảy trung bình và chỉ số Lindegaard trên siêu âm Doppler xuyên sọ có giá trị cao trong chẩn đoán tình trạng co thắt mạch não. </w:t>
      </w:r>
    </w:p>
    <w:p w:rsidR="00FC765E" w:rsidRPr="00D034AB" w:rsidRDefault="00FC765E" w:rsidP="00FC765E">
      <w:pPr>
        <w:ind w:firstLine="360"/>
        <w:contextualSpacing/>
        <w:jc w:val="both"/>
        <w:rPr>
          <w:i/>
          <w:sz w:val="24"/>
          <w:szCs w:val="24"/>
        </w:rPr>
      </w:pPr>
      <w:r w:rsidRPr="00D034AB">
        <w:rPr>
          <w:b/>
          <w:i/>
          <w:sz w:val="24"/>
          <w:szCs w:val="24"/>
        </w:rPr>
        <w:t>Từ khóa:</w:t>
      </w:r>
      <w:r w:rsidRPr="00D034AB">
        <w:rPr>
          <w:i/>
          <w:sz w:val="24"/>
          <w:szCs w:val="24"/>
        </w:rPr>
        <w:t xml:space="preserve"> </w:t>
      </w:r>
      <w:r w:rsidRPr="00D034AB">
        <w:rPr>
          <w:sz w:val="24"/>
          <w:szCs w:val="24"/>
        </w:rPr>
        <w:t>chấn thương sọ não nặng, co thắt mạch não, siêu âm Doppler xuyên sọ</w:t>
      </w:r>
      <w:r w:rsidRPr="00D034AB">
        <w:rPr>
          <w:i/>
          <w:sz w:val="24"/>
          <w:szCs w:val="24"/>
        </w:rPr>
        <w:t xml:space="preserve"> </w:t>
      </w:r>
    </w:p>
    <w:p w:rsidR="00FC765E" w:rsidRPr="00D034AB" w:rsidRDefault="00FC765E" w:rsidP="00FC765E">
      <w:pPr>
        <w:pStyle w:val="EndNoteBibliography"/>
        <w:widowControl w:val="0"/>
        <w:spacing w:after="0"/>
        <w:contextualSpacing/>
        <w:rPr>
          <w:rFonts w:ascii="Tahoma" w:hAnsi="Tahoma" w:cs="Tahoma"/>
          <w:b/>
          <w:color w:val="000000"/>
          <w:sz w:val="24"/>
          <w:szCs w:val="24"/>
        </w:rPr>
      </w:pPr>
    </w:p>
    <w:p w:rsidR="00FC765E" w:rsidRPr="00D034AB" w:rsidRDefault="00FC765E" w:rsidP="00FC765E">
      <w:pPr>
        <w:pStyle w:val="EndNoteBibliography"/>
        <w:widowControl w:val="0"/>
        <w:spacing w:after="0"/>
        <w:contextualSpacing/>
        <w:rPr>
          <w:rFonts w:ascii="Calibri" w:hAnsi="Calibri" w:cs="Calibri"/>
          <w:b/>
          <w:color w:val="000000"/>
          <w:sz w:val="24"/>
          <w:szCs w:val="24"/>
          <w:lang w:val="vi-VN"/>
        </w:rPr>
      </w:pPr>
      <w:r w:rsidRPr="00D034AB">
        <w:rPr>
          <w:rFonts w:ascii="Calibri" w:hAnsi="Calibri" w:cs="Calibri"/>
          <w:b/>
          <w:color w:val="000000"/>
          <w:sz w:val="24"/>
          <w:szCs w:val="24"/>
        </w:rPr>
        <w:t>SUMMARY</w:t>
      </w:r>
    </w:p>
    <w:p w:rsidR="00FC765E" w:rsidRPr="00D034AB" w:rsidRDefault="00FC765E" w:rsidP="00FC765E">
      <w:pPr>
        <w:contextualSpacing/>
        <w:jc w:val="center"/>
        <w:rPr>
          <w:b/>
          <w:sz w:val="24"/>
          <w:szCs w:val="24"/>
        </w:rPr>
      </w:pPr>
      <w:r w:rsidRPr="00D034AB">
        <w:rPr>
          <w:b/>
          <w:sz w:val="24"/>
          <w:szCs w:val="24"/>
        </w:rPr>
        <w:t>COMBINATION OF MEAN FLOW VELOCITY AND LINDEGAARD RATIO MEASURED BY TRANSCRANIAL DOPPLER UNTRASONOGRAPHY IN DIAGNOSING CELEBRAL VASOSPASM IN SEVERE TRAUMATIC BRAIN INJURY</w:t>
      </w:r>
    </w:p>
    <w:p w:rsidR="00FC765E" w:rsidRPr="00D034AB" w:rsidRDefault="00FC765E" w:rsidP="00FC765E">
      <w:pPr>
        <w:ind w:firstLine="360"/>
        <w:contextualSpacing/>
        <w:jc w:val="both"/>
        <w:rPr>
          <w:sz w:val="24"/>
          <w:szCs w:val="24"/>
        </w:rPr>
      </w:pPr>
      <w:r w:rsidRPr="00D034AB">
        <w:rPr>
          <w:sz w:val="24"/>
          <w:szCs w:val="24"/>
        </w:rPr>
        <w:t>Cerebral vasospasm following severe traumatic brain injury is a common complication, need to be early diagnosed and properly treated. The study collected 93 patients with severe traumatic brain injury (Glasgow ≤ 8 points), who were made transcranial Doppler ultrasound and 64-slide computerized tomography of brain. This was a cross-sectional descriptive study. Diagnosis value of cerebral vasospasm by transcranial Doppler ultrasound compared with brain multislide computerized tomography showded 94% of sensitivity (95% CI: 81.4% -98.4%); specificity: 94% (95% CI: 85.7% -98.2%); the positive predictive value: 92% (95% CI: 78.2% -97.1%); the negative predictive value: 96.5% (95% CI: 88% -97.7%). From 6</w:t>
      </w:r>
      <w:r w:rsidRPr="00D034AB">
        <w:rPr>
          <w:sz w:val="24"/>
          <w:szCs w:val="24"/>
          <w:vertAlign w:val="superscript"/>
        </w:rPr>
        <w:t>th</w:t>
      </w:r>
      <w:r w:rsidRPr="00D034AB">
        <w:rPr>
          <w:sz w:val="24"/>
          <w:szCs w:val="24"/>
        </w:rPr>
        <w:t>day to 8</w:t>
      </w:r>
      <w:r w:rsidRPr="00D034AB">
        <w:rPr>
          <w:sz w:val="24"/>
          <w:szCs w:val="24"/>
          <w:vertAlign w:val="superscript"/>
        </w:rPr>
        <w:t>th</w:t>
      </w:r>
      <w:r w:rsidRPr="00D034AB">
        <w:rPr>
          <w:sz w:val="24"/>
          <w:szCs w:val="24"/>
        </w:rPr>
        <w:t xml:space="preserve"> day of treatment there were by 38.7% of patients with cerebral vasospasm. High risk cerebral vasospasm in patients with subarachnoid hemorrhage with OR = 306 (95% CI: 48.6 to 1926). Combination of mean flow velocity and Lindegaard ration on transcranial Doppler ultrasound had high value in diagnosing cerebral vasospasm condition in severe traumatic brain injury. </w:t>
      </w:r>
    </w:p>
    <w:p w:rsidR="008256DB" w:rsidRPr="00FC765E" w:rsidRDefault="00FC765E" w:rsidP="00FC765E">
      <w:r w:rsidRPr="00D034AB">
        <w:rPr>
          <w:b/>
          <w:i/>
          <w:sz w:val="24"/>
          <w:szCs w:val="24"/>
        </w:rPr>
        <w:t>Keywords:</w:t>
      </w:r>
      <w:r w:rsidRPr="00D034AB">
        <w:rPr>
          <w:i/>
          <w:sz w:val="24"/>
          <w:szCs w:val="24"/>
        </w:rPr>
        <w:t xml:space="preserve"> </w:t>
      </w:r>
      <w:r w:rsidRPr="00D034AB">
        <w:rPr>
          <w:sz w:val="24"/>
          <w:szCs w:val="24"/>
        </w:rPr>
        <w:t>severe traumatic brain injury, cerebral vasospasm, transcranial Doppler ultrasound</w:t>
      </w:r>
    </w:p>
    <w:sectPr w:rsidR="008256DB" w:rsidRPr="00FC765E" w:rsidSect="00931103">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4B" w:rsidRDefault="00CC354B" w:rsidP="00931103">
      <w:r>
        <w:separator/>
      </w:r>
    </w:p>
  </w:endnote>
  <w:endnote w:type="continuationSeparator" w:id="0">
    <w:p w:rsidR="00CC354B" w:rsidRDefault="00CC354B" w:rsidP="009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4B" w:rsidRDefault="00CC354B" w:rsidP="00931103">
      <w:r>
        <w:separator/>
      </w:r>
    </w:p>
  </w:footnote>
  <w:footnote w:type="continuationSeparator" w:id="0">
    <w:p w:rsidR="00CC354B" w:rsidRDefault="00CC354B" w:rsidP="00931103">
      <w:r>
        <w:continuationSeparator/>
      </w:r>
    </w:p>
  </w:footnote>
  <w:footnote w:id="1">
    <w:p w:rsidR="00FC765E" w:rsidRDefault="00FC765E" w:rsidP="00FC765E">
      <w:pPr>
        <w:contextualSpacing/>
      </w:pPr>
      <w:bookmarkStart w:id="27" w:name="_GoBack"/>
      <w:bookmarkEnd w:id="27"/>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F"/>
    <w:rsid w:val="003873E7"/>
    <w:rsid w:val="0039441A"/>
    <w:rsid w:val="006D78A8"/>
    <w:rsid w:val="008256DB"/>
    <w:rsid w:val="008A7DAF"/>
    <w:rsid w:val="00931103"/>
    <w:rsid w:val="00C07F11"/>
    <w:rsid w:val="00CB2542"/>
    <w:rsid w:val="00CC354B"/>
    <w:rsid w:val="00FC76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17E4-F95C-4C7B-834F-CE23EBD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931103"/>
    <w:rPr>
      <w:vertAlign w:val="superscript"/>
    </w:rPr>
  </w:style>
  <w:style w:type="paragraph" w:styleId="FootnoteText">
    <w:name w:val="footnote text"/>
    <w:basedOn w:val="Normal"/>
    <w:link w:val="FootnoteTextChar"/>
    <w:uiPriority w:val="99"/>
    <w:semiHidden/>
    <w:unhideWhenUsed/>
    <w:rsid w:val="00931103"/>
  </w:style>
  <w:style w:type="character" w:customStyle="1" w:styleId="FootnoteTextChar">
    <w:name w:val="Footnote Text Char"/>
    <w:basedOn w:val="DefaultParagraphFont"/>
    <w:link w:val="FootnoteText"/>
    <w:uiPriority w:val="99"/>
    <w:semiHidden/>
    <w:rsid w:val="00931103"/>
    <w:rPr>
      <w:rFonts w:ascii="Tahoma" w:eastAsia="Times New Roman" w:hAnsi="Tahoma" w:cs="Tahoma"/>
      <w:color w:val="000000"/>
      <w:sz w:val="20"/>
      <w:szCs w:val="20"/>
      <w:lang w:val="en-US"/>
    </w:rPr>
  </w:style>
  <w:style w:type="paragraph" w:customStyle="1" w:styleId="EndNoteBibliography">
    <w:name w:val="EndNote Bibliography"/>
    <w:basedOn w:val="Normal"/>
    <w:link w:val="EndNoteBibliographyChar"/>
    <w:rsid w:val="00FC765E"/>
    <w:pPr>
      <w:overflowPunct/>
      <w:autoSpaceDE/>
      <w:autoSpaceDN/>
      <w:adjustRightInd/>
      <w:spacing w:after="160"/>
      <w:jc w:val="both"/>
      <w:textAlignment w:val="auto"/>
    </w:pPr>
    <w:rPr>
      <w:rFonts w:ascii="Times New Roman" w:eastAsia="Calibri" w:hAnsi="Times New Roman" w:cs="Times New Roman"/>
      <w:noProof/>
      <w:color w:val="auto"/>
      <w:sz w:val="28"/>
      <w:szCs w:val="28"/>
    </w:rPr>
  </w:style>
  <w:style w:type="character" w:customStyle="1" w:styleId="EndNoteBibliographyChar">
    <w:name w:val="EndNote Bibliography Char"/>
    <w:link w:val="EndNoteBibliography"/>
    <w:rsid w:val="00FC765E"/>
    <w:rPr>
      <w:rFonts w:ascii="Times New Roman" w:eastAsia="Calibri" w:hAnsi="Times New Roman"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2015-08-17T08:47:00Z</dcterms:created>
  <dcterms:modified xsi:type="dcterms:W3CDTF">2015-12-29T09:29:00Z</dcterms:modified>
</cp:coreProperties>
</file>