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5D" w:rsidRPr="00C12E51" w:rsidRDefault="00BE5A5D" w:rsidP="00BE5A5D">
      <w:pPr>
        <w:contextualSpacing/>
        <w:jc w:val="center"/>
        <w:rPr>
          <w:rFonts w:ascii="Cambria" w:hAnsi="Cambria"/>
          <w:b/>
          <w:bCs/>
          <w:sz w:val="28"/>
          <w:szCs w:val="28"/>
        </w:rPr>
      </w:pPr>
      <w:r w:rsidRPr="00C12E51">
        <w:rPr>
          <w:rFonts w:ascii="Cambria" w:hAnsi="Cambria"/>
          <w:b/>
          <w:bCs/>
          <w:sz w:val="28"/>
          <w:szCs w:val="28"/>
        </w:rPr>
        <w:t>NHÂN LỰC Y TẾ VÀ TÌNH HÌNH SỨC KHỎE</w:t>
      </w:r>
    </w:p>
    <w:p w:rsidR="00BE5A5D" w:rsidRPr="00C12E51" w:rsidRDefault="00BE5A5D" w:rsidP="00BE5A5D">
      <w:pPr>
        <w:contextualSpacing/>
        <w:jc w:val="center"/>
        <w:rPr>
          <w:rFonts w:ascii="Cambria" w:hAnsi="Cambria"/>
          <w:b/>
          <w:bCs/>
          <w:sz w:val="28"/>
          <w:szCs w:val="28"/>
        </w:rPr>
      </w:pPr>
      <w:r w:rsidRPr="00C12E51">
        <w:rPr>
          <w:rFonts w:ascii="Cambria" w:hAnsi="Cambria"/>
          <w:b/>
          <w:bCs/>
          <w:sz w:val="28"/>
          <w:szCs w:val="28"/>
        </w:rPr>
        <w:t xml:space="preserve">TẠI </w:t>
      </w:r>
      <w:r w:rsidRPr="00C12E51">
        <w:rPr>
          <w:rFonts w:ascii="Cambria" w:hAnsi="Cambria"/>
          <w:b/>
          <w:bCs/>
          <w:sz w:val="28"/>
          <w:szCs w:val="28"/>
          <w:lang w:val="vi-VN"/>
        </w:rPr>
        <w:t xml:space="preserve">VÙNG </w:t>
      </w:r>
      <w:r w:rsidRPr="00C12E51">
        <w:rPr>
          <w:rFonts w:ascii="Cambria" w:hAnsi="Cambria"/>
          <w:b/>
          <w:bCs/>
          <w:sz w:val="28"/>
          <w:szCs w:val="28"/>
        </w:rPr>
        <w:t>TRUNG DU VÀ MIỀN NÚI PHÍA BẮC</w:t>
      </w:r>
    </w:p>
    <w:p w:rsidR="00BE5A5D" w:rsidRPr="00D034AB" w:rsidRDefault="00BE5A5D" w:rsidP="00BE5A5D">
      <w:pPr>
        <w:contextualSpacing/>
        <w:jc w:val="both"/>
        <w:rPr>
          <w:b/>
          <w:bCs/>
          <w:sz w:val="24"/>
          <w:szCs w:val="24"/>
        </w:rPr>
      </w:pPr>
    </w:p>
    <w:p w:rsidR="00BE5A5D" w:rsidRPr="00D034AB" w:rsidRDefault="00BE5A5D" w:rsidP="00BE5A5D">
      <w:pPr>
        <w:contextualSpacing/>
        <w:jc w:val="right"/>
        <w:rPr>
          <w:rFonts w:ascii="Times New Roman" w:hAnsi="Times New Roman"/>
          <w:b/>
          <w:sz w:val="24"/>
          <w:szCs w:val="24"/>
        </w:rPr>
      </w:pPr>
      <w:r w:rsidRPr="00D034AB">
        <w:rPr>
          <w:rFonts w:ascii="Times New Roman" w:hAnsi="Times New Roman"/>
          <w:b/>
          <w:sz w:val="24"/>
          <w:szCs w:val="24"/>
        </w:rPr>
        <w:t xml:space="preserve">Phạm </w:t>
      </w:r>
      <w:r w:rsidRPr="00D034AB">
        <w:rPr>
          <w:rFonts w:ascii="Times New Roman" w:hAnsi="Times New Roman"/>
          <w:b/>
          <w:sz w:val="24"/>
          <w:szCs w:val="24"/>
          <w:lang w:val="vi-VN"/>
        </w:rPr>
        <w:t>Hồng Hải</w:t>
      </w:r>
      <w:r w:rsidRPr="00D034AB">
        <w:rPr>
          <w:rFonts w:ascii="Times New Roman" w:hAnsi="Times New Roman"/>
          <w:b/>
          <w:sz w:val="24"/>
          <w:szCs w:val="24"/>
        </w:rPr>
        <w:t>*</w:t>
      </w:r>
    </w:p>
    <w:p w:rsidR="00BE5A5D" w:rsidRDefault="00BE5A5D" w:rsidP="00BE5A5D">
      <w:pPr>
        <w:contextualSpacing/>
        <w:jc w:val="both"/>
        <w:rPr>
          <w:rFonts w:ascii="Calibri" w:hAnsi="Calibri" w:cs="Calibri"/>
          <w:b/>
          <w:bCs/>
          <w:sz w:val="24"/>
          <w:szCs w:val="24"/>
          <w:lang w:val="vi-VN"/>
        </w:rPr>
      </w:pPr>
    </w:p>
    <w:p w:rsidR="00BE5A5D" w:rsidRPr="00D034AB" w:rsidRDefault="00BE5A5D" w:rsidP="00BE5A5D">
      <w:pPr>
        <w:contextualSpacing/>
        <w:jc w:val="both"/>
        <w:rPr>
          <w:rFonts w:ascii="Calibri" w:hAnsi="Calibri" w:cs="Calibri"/>
          <w:b/>
          <w:bCs/>
          <w:sz w:val="24"/>
          <w:szCs w:val="24"/>
        </w:rPr>
      </w:pPr>
      <w:r w:rsidRPr="00D034AB">
        <w:rPr>
          <w:rFonts w:ascii="Calibri" w:hAnsi="Calibri" w:cs="Calibri"/>
          <w:b/>
          <w:bCs/>
          <w:sz w:val="24"/>
          <w:szCs w:val="24"/>
          <w:lang w:val="vi-VN"/>
        </w:rPr>
        <w:t>TÓM TẮT</w:t>
      </w:r>
      <w:r w:rsidRPr="00D034AB">
        <w:rPr>
          <w:rStyle w:val="FootnoteReference"/>
          <w:rFonts w:ascii="Calibri" w:hAnsi="Calibri" w:cs="Calibri"/>
          <w:b/>
          <w:bCs/>
          <w:sz w:val="24"/>
          <w:szCs w:val="24"/>
          <w:lang w:val="vi-VN"/>
        </w:rPr>
        <w:footnoteReference w:id="1"/>
      </w:r>
    </w:p>
    <w:p w:rsidR="00BE5A5D" w:rsidRPr="00D034AB" w:rsidRDefault="00BE5A5D" w:rsidP="00BE5A5D">
      <w:pPr>
        <w:ind w:firstLine="360"/>
        <w:contextualSpacing/>
        <w:jc w:val="both"/>
        <w:rPr>
          <w:sz w:val="24"/>
          <w:szCs w:val="24"/>
        </w:rPr>
      </w:pPr>
      <w:r w:rsidRPr="00D034AB">
        <w:rPr>
          <w:sz w:val="24"/>
          <w:szCs w:val="24"/>
          <w:lang w:val="vi-VN"/>
        </w:rPr>
        <w:t xml:space="preserve">Nghiên cứu sử dụng số liệu thứ cấp của thống kê y tế Việt Nam và các tài liệu của Bộ y tế để phân tích thực trạng nhân lực y tế và tình hình sức khỏe của người dân khu vực miền núi phía Bắc so sánh với các chỉ số cả nước và các vùng miền khác nhằm tìm ra một số bất cập giữa nhân lực y tế và kết quả chăm sóc sức khỏe cho người dân. </w:t>
      </w:r>
      <w:r w:rsidRPr="00D034AB">
        <w:rPr>
          <w:b/>
          <w:bCs/>
          <w:sz w:val="24"/>
          <w:szCs w:val="24"/>
          <w:lang w:val="vi-VN"/>
        </w:rPr>
        <w:t>Phương pháp:</w:t>
      </w:r>
      <w:r w:rsidRPr="00D034AB">
        <w:rPr>
          <w:sz w:val="24"/>
          <w:szCs w:val="24"/>
          <w:lang w:val="vi-VN"/>
        </w:rPr>
        <w:t xml:space="preserve"> Phân tích hệ thống y tế, nghiên cứu tài liệu và phương pháp chuyên gia. </w:t>
      </w:r>
      <w:r w:rsidRPr="00D034AB">
        <w:rPr>
          <w:b/>
          <w:bCs/>
          <w:sz w:val="24"/>
          <w:szCs w:val="24"/>
          <w:lang w:val="vi-VN"/>
        </w:rPr>
        <w:t>Kết quả:</w:t>
      </w:r>
      <w:r w:rsidRPr="00D034AB">
        <w:rPr>
          <w:sz w:val="24"/>
          <w:szCs w:val="24"/>
          <w:lang w:val="vi-VN"/>
        </w:rPr>
        <w:t xml:space="preserve"> Số lượng bác sĩ tại vùng Trung du miền núi phía Bắc cao (7,1bác sĩ/10.000 dân) hơn so với cả nước (5,3) nhưng hiệu suất KCB lại thấp hơn (2411 lần khám/ năm /1 bác sĩ so với cả nước 4123 lần), các chỉ số về tử vong trẻ em (35,2‰) cao hơn cả nước (23,1‰). </w:t>
      </w:r>
      <w:r w:rsidRPr="00D034AB">
        <w:rPr>
          <w:b/>
          <w:bCs/>
          <w:sz w:val="24"/>
          <w:szCs w:val="24"/>
          <w:lang w:val="vi-VN"/>
        </w:rPr>
        <w:t>Khuyến nghị:</w:t>
      </w:r>
      <w:r w:rsidRPr="00D034AB">
        <w:rPr>
          <w:sz w:val="24"/>
          <w:szCs w:val="24"/>
          <w:lang w:val="vi-VN"/>
        </w:rPr>
        <w:t xml:space="preserve"> H</w:t>
      </w:r>
      <w:r w:rsidRPr="00D034AB">
        <w:rPr>
          <w:sz w:val="24"/>
          <w:szCs w:val="24"/>
        </w:rPr>
        <w:t>oạch đ</w:t>
      </w:r>
      <w:r w:rsidRPr="00D034AB">
        <w:rPr>
          <w:sz w:val="24"/>
          <w:szCs w:val="24"/>
          <w:lang w:val="vi-VN"/>
        </w:rPr>
        <w:t>ịnh</w:t>
      </w:r>
      <w:r w:rsidRPr="00D034AB">
        <w:rPr>
          <w:sz w:val="24"/>
          <w:szCs w:val="24"/>
        </w:rPr>
        <w:t xml:space="preserve"> chính sách nhân lực </w:t>
      </w:r>
      <w:r w:rsidRPr="00D034AB">
        <w:rPr>
          <w:sz w:val="24"/>
          <w:szCs w:val="24"/>
          <w:lang w:val="vi-VN"/>
        </w:rPr>
        <w:t>y</w:t>
      </w:r>
      <w:r w:rsidRPr="00D034AB">
        <w:rPr>
          <w:sz w:val="24"/>
          <w:szCs w:val="24"/>
        </w:rPr>
        <w:t xml:space="preserve"> tế cần dựa vào 3 yếu tố là dân số, diện tích và hệ số khó khăn. Nghiên cứu cũng khuyến nghị tiến hành một nghiên cứu đầy đủ hơn để xác đ</w:t>
      </w:r>
      <w:r w:rsidRPr="00D034AB">
        <w:rPr>
          <w:sz w:val="24"/>
          <w:szCs w:val="24"/>
          <w:lang w:val="vi-VN"/>
        </w:rPr>
        <w:t>ịnh</w:t>
      </w:r>
      <w:r w:rsidRPr="00D034AB">
        <w:rPr>
          <w:sz w:val="24"/>
          <w:szCs w:val="24"/>
        </w:rPr>
        <w:t xml:space="preserve"> được hệ số khó khăn.</w:t>
      </w:r>
    </w:p>
    <w:p w:rsidR="00BE5A5D" w:rsidRPr="00D034AB" w:rsidRDefault="00BE5A5D" w:rsidP="00BE5A5D">
      <w:pPr>
        <w:ind w:firstLine="360"/>
        <w:contextualSpacing/>
        <w:jc w:val="both"/>
        <w:rPr>
          <w:sz w:val="24"/>
          <w:szCs w:val="24"/>
          <w:lang w:val="vi-VN"/>
        </w:rPr>
      </w:pPr>
      <w:r w:rsidRPr="00D034AB">
        <w:rPr>
          <w:b/>
          <w:i/>
          <w:sz w:val="24"/>
          <w:szCs w:val="24"/>
        </w:rPr>
        <w:t>Từ khóa:</w:t>
      </w:r>
      <w:r w:rsidRPr="00D034AB">
        <w:rPr>
          <w:sz w:val="24"/>
          <w:szCs w:val="24"/>
        </w:rPr>
        <w:t xml:space="preserve"> </w:t>
      </w:r>
      <w:r w:rsidRPr="00D034AB">
        <w:rPr>
          <w:sz w:val="24"/>
          <w:szCs w:val="24"/>
          <w:lang w:val="vi-VN"/>
        </w:rPr>
        <w:t>Nhân lực y tế, miền núi, hệ thống y tế</w:t>
      </w:r>
    </w:p>
    <w:p w:rsidR="00BE5A5D" w:rsidRPr="00D034AB" w:rsidRDefault="00BE5A5D" w:rsidP="00BE5A5D">
      <w:pPr>
        <w:contextualSpacing/>
        <w:jc w:val="both"/>
        <w:rPr>
          <w:sz w:val="24"/>
          <w:szCs w:val="24"/>
        </w:rPr>
      </w:pPr>
    </w:p>
    <w:p w:rsidR="00BE5A5D" w:rsidRPr="00D034AB" w:rsidRDefault="00BE5A5D" w:rsidP="00BE5A5D">
      <w:pPr>
        <w:contextualSpacing/>
        <w:jc w:val="both"/>
        <w:rPr>
          <w:rFonts w:ascii="Calibri" w:hAnsi="Calibri" w:cs="Calibri"/>
          <w:b/>
          <w:sz w:val="24"/>
          <w:szCs w:val="24"/>
        </w:rPr>
      </w:pPr>
      <w:r w:rsidRPr="00D034AB">
        <w:rPr>
          <w:rFonts w:ascii="Calibri" w:hAnsi="Calibri" w:cs="Calibri"/>
          <w:b/>
          <w:sz w:val="24"/>
          <w:szCs w:val="24"/>
        </w:rPr>
        <w:t>SUMMARY</w:t>
      </w:r>
    </w:p>
    <w:p w:rsidR="00BE5A5D" w:rsidRPr="00D034AB" w:rsidRDefault="00BE5A5D" w:rsidP="00BE5A5D">
      <w:pPr>
        <w:contextualSpacing/>
        <w:jc w:val="center"/>
        <w:rPr>
          <w:b/>
          <w:bCs/>
          <w:sz w:val="24"/>
          <w:szCs w:val="24"/>
        </w:rPr>
      </w:pPr>
      <w:r w:rsidRPr="00D034AB">
        <w:rPr>
          <w:b/>
          <w:bCs/>
          <w:sz w:val="24"/>
          <w:szCs w:val="24"/>
        </w:rPr>
        <w:t>HUMAN RESOURCE AND</w:t>
      </w:r>
    </w:p>
    <w:p w:rsidR="00BE5A5D" w:rsidRPr="00D034AB" w:rsidRDefault="00BE5A5D" w:rsidP="00BE5A5D">
      <w:pPr>
        <w:contextualSpacing/>
        <w:jc w:val="center"/>
        <w:rPr>
          <w:b/>
          <w:bCs/>
          <w:sz w:val="24"/>
          <w:szCs w:val="24"/>
        </w:rPr>
      </w:pPr>
      <w:r w:rsidRPr="00D034AB">
        <w:rPr>
          <w:b/>
          <w:bCs/>
          <w:sz w:val="24"/>
          <w:szCs w:val="24"/>
        </w:rPr>
        <w:t>HEALTH STATE IN HIGH LAND AND MID LAND IN THE NORTHERN MOUTAINOUS REGION OF VIETNAM</w:t>
      </w:r>
    </w:p>
    <w:p w:rsidR="00BE5A5D" w:rsidRPr="00D034AB" w:rsidRDefault="00BE5A5D" w:rsidP="00BE5A5D">
      <w:pPr>
        <w:ind w:firstLine="360"/>
        <w:contextualSpacing/>
        <w:jc w:val="both"/>
        <w:rPr>
          <w:sz w:val="24"/>
          <w:szCs w:val="24"/>
        </w:rPr>
      </w:pPr>
      <w:r w:rsidRPr="00D034AB">
        <w:rPr>
          <w:sz w:val="24"/>
          <w:szCs w:val="24"/>
        </w:rPr>
        <w:t xml:space="preserve">This study is conducted based on the secodary data of Vietnam health statistic and MOHs’ documents to analise the state of human resource and health situation in Northen moutainous region in comparision with the whole country and others areas in order to find out some probmlems between humance resource and health care index. </w:t>
      </w:r>
      <w:r w:rsidRPr="00D034AB">
        <w:rPr>
          <w:b/>
          <w:bCs/>
          <w:sz w:val="24"/>
          <w:szCs w:val="24"/>
        </w:rPr>
        <w:t>Methods:</w:t>
      </w:r>
      <w:r w:rsidRPr="00D034AB">
        <w:rPr>
          <w:sz w:val="24"/>
          <w:szCs w:val="24"/>
        </w:rPr>
        <w:t xml:space="preserve"> health system analysis, desk study and experts analysis. </w:t>
      </w:r>
      <w:r w:rsidRPr="00D034AB">
        <w:rPr>
          <w:b/>
          <w:bCs/>
          <w:sz w:val="24"/>
          <w:szCs w:val="24"/>
        </w:rPr>
        <w:t>Results:</w:t>
      </w:r>
      <w:r w:rsidRPr="00D034AB">
        <w:rPr>
          <w:sz w:val="24"/>
          <w:szCs w:val="24"/>
        </w:rPr>
        <w:t xml:space="preserve"> The numbers of Doctors in Northen moutainous areas are higher than that in whole country (7.1 doctor/10.000 people vs 5.3); the number of treatments in this area are lower than that in whole country (2.422 times/year/doctor vs 4.123); the rate of death in children are higher than that in whole country (35.2‰ vs 23.1‰). </w:t>
      </w:r>
      <w:r w:rsidRPr="00D034AB">
        <w:rPr>
          <w:b/>
          <w:bCs/>
          <w:sz w:val="24"/>
          <w:szCs w:val="24"/>
        </w:rPr>
        <w:t>Recommendations:</w:t>
      </w:r>
      <w:r w:rsidRPr="00D034AB">
        <w:rPr>
          <w:sz w:val="24"/>
          <w:szCs w:val="24"/>
        </w:rPr>
        <w:t xml:space="preserve"> Making health policies should be based on 3 factors: Population, square and difficulty index. In order to identify this index should carefully implement a research in the future.</w:t>
      </w:r>
    </w:p>
    <w:p w:rsidR="008256DB" w:rsidRPr="00BE5A5D" w:rsidRDefault="00BE5A5D" w:rsidP="00BE5A5D">
      <w:r w:rsidRPr="00D034AB">
        <w:rPr>
          <w:b/>
          <w:i/>
          <w:sz w:val="24"/>
          <w:szCs w:val="24"/>
        </w:rPr>
        <w:t>Keywords:</w:t>
      </w:r>
      <w:r w:rsidRPr="00D034AB">
        <w:rPr>
          <w:sz w:val="24"/>
          <w:szCs w:val="24"/>
        </w:rPr>
        <w:t xml:space="preserve"> </w:t>
      </w:r>
      <w:r w:rsidRPr="00D034AB">
        <w:rPr>
          <w:sz w:val="24"/>
          <w:szCs w:val="24"/>
          <w:lang w:val="vi-VN"/>
        </w:rPr>
        <w:t>H</w:t>
      </w:r>
      <w:r w:rsidRPr="00D034AB">
        <w:rPr>
          <w:sz w:val="24"/>
          <w:szCs w:val="24"/>
        </w:rPr>
        <w:t>uman resource, moutainous area, health system</w:t>
      </w:r>
    </w:p>
    <w:sectPr w:rsidR="008256DB" w:rsidRPr="00BE5A5D" w:rsidSect="00D34A23">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80" w:rsidRDefault="00974780" w:rsidP="00D34A23">
      <w:r>
        <w:separator/>
      </w:r>
    </w:p>
  </w:endnote>
  <w:endnote w:type="continuationSeparator" w:id="0">
    <w:p w:rsidR="00974780" w:rsidRDefault="00974780" w:rsidP="00D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80" w:rsidRDefault="00974780" w:rsidP="00D34A23">
      <w:r>
        <w:separator/>
      </w:r>
    </w:p>
  </w:footnote>
  <w:footnote w:type="continuationSeparator" w:id="0">
    <w:p w:rsidR="00974780" w:rsidRDefault="00974780" w:rsidP="00D34A23">
      <w:r>
        <w:continuationSeparator/>
      </w:r>
    </w:p>
  </w:footnote>
  <w:footnote w:id="1">
    <w:p w:rsidR="00BE5A5D" w:rsidRDefault="00BE5A5D" w:rsidP="00BE5A5D">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AC"/>
    <w:rsid w:val="001F610C"/>
    <w:rsid w:val="0035339D"/>
    <w:rsid w:val="003C77FD"/>
    <w:rsid w:val="008256DB"/>
    <w:rsid w:val="00830089"/>
    <w:rsid w:val="00974780"/>
    <w:rsid w:val="00A67FD8"/>
    <w:rsid w:val="00BE5A5D"/>
    <w:rsid w:val="00D34A23"/>
    <w:rsid w:val="00DF2F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11A2-890B-4534-8011-E9B48B1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2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4A23"/>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D34A23"/>
    <w:rPr>
      <w:vertAlign w:val="superscript"/>
    </w:rPr>
  </w:style>
  <w:style w:type="paragraph" w:styleId="EndnoteText">
    <w:name w:val="endnote text"/>
    <w:basedOn w:val="Normal"/>
    <w:link w:val="EndnoteTextChar1"/>
    <w:semiHidden/>
    <w:rsid w:val="00D34A23"/>
    <w:pPr>
      <w:overflowPunct/>
      <w:autoSpaceDE/>
      <w:autoSpaceDN/>
      <w:adjustRightInd/>
      <w:textAlignment w:val="auto"/>
    </w:pPr>
    <w:rPr>
      <w:rFonts w:ascii="Times New Roman" w:eastAsia="SimSun" w:hAnsi="Times New Roman"/>
      <w:lang w:eastAsia="zh-CN"/>
    </w:rPr>
  </w:style>
  <w:style w:type="character" w:customStyle="1" w:styleId="EndnoteTextChar">
    <w:name w:val="Endnote Text Char"/>
    <w:basedOn w:val="DefaultParagraphFont"/>
    <w:uiPriority w:val="99"/>
    <w:semiHidden/>
    <w:rsid w:val="00D34A23"/>
    <w:rPr>
      <w:rFonts w:ascii="Tahoma" w:eastAsia="Times New Roman" w:hAnsi="Tahoma" w:cs="Tahoma"/>
      <w:color w:val="000000"/>
      <w:sz w:val="20"/>
      <w:szCs w:val="20"/>
      <w:lang w:val="en-US"/>
    </w:rPr>
  </w:style>
  <w:style w:type="character" w:customStyle="1" w:styleId="EndnoteTextChar1">
    <w:name w:val="Endnote Text Char1"/>
    <w:link w:val="EndnoteText"/>
    <w:semiHidden/>
    <w:locked/>
    <w:rsid w:val="00D34A23"/>
    <w:rPr>
      <w:rFonts w:ascii="Times New Roman" w:eastAsia="SimSun" w:hAnsi="Times New Roman" w:cs="Tahoma"/>
      <w:color w:val="000000"/>
      <w:sz w:val="20"/>
      <w:szCs w:val="20"/>
      <w:lang w:val="en-US" w:eastAsia="zh-CN"/>
    </w:rPr>
  </w:style>
  <w:style w:type="paragraph" w:customStyle="1" w:styleId="A">
    <w:name w:val="A"/>
    <w:basedOn w:val="Normal"/>
    <w:rsid w:val="00D34A23"/>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 w:type="paragraph" w:customStyle="1" w:styleId="bang">
    <w:name w:val="bang"/>
    <w:basedOn w:val="Normal"/>
    <w:link w:val="bangChar"/>
    <w:qFormat/>
    <w:rsid w:val="00BE5A5D"/>
    <w:pPr>
      <w:overflowPunct/>
      <w:autoSpaceDE/>
      <w:autoSpaceDN/>
      <w:adjustRightInd/>
      <w:spacing w:line="360" w:lineRule="auto"/>
      <w:jc w:val="both"/>
      <w:textAlignment w:val="auto"/>
      <w:outlineLvl w:val="2"/>
    </w:pPr>
    <w:rPr>
      <w:rFonts w:ascii="Times New Roman" w:hAnsi="Times New Roman" w:cs="Times New Roman"/>
      <w:b/>
      <w:i/>
      <w:color w:val="auto"/>
      <w:sz w:val="28"/>
      <w:szCs w:val="28"/>
      <w:lang w:val="pt-BR" w:eastAsia="x-none"/>
    </w:rPr>
  </w:style>
  <w:style w:type="character" w:customStyle="1" w:styleId="bangChar">
    <w:name w:val="bang Char"/>
    <w:link w:val="bang"/>
    <w:rsid w:val="00BE5A5D"/>
    <w:rPr>
      <w:rFonts w:ascii="Times New Roman" w:eastAsia="Times New Roman" w:hAnsi="Times New Roman" w:cs="Times New Roman"/>
      <w:b/>
      <w:i/>
      <w:sz w:val="28"/>
      <w:szCs w:val="28"/>
      <w:lang w:val="pt-B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2015-08-17T08:51:00Z</dcterms:created>
  <dcterms:modified xsi:type="dcterms:W3CDTF">2015-12-29T09:32:00Z</dcterms:modified>
</cp:coreProperties>
</file>