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3BD" w:rsidRPr="00C12E51" w:rsidRDefault="005C63BD" w:rsidP="005C63BD">
      <w:pPr>
        <w:spacing w:before="120" w:after="120"/>
        <w:contextualSpacing/>
        <w:jc w:val="center"/>
        <w:rPr>
          <w:rFonts w:ascii="Cambria" w:hAnsi="Cambria"/>
          <w:b/>
          <w:sz w:val="28"/>
          <w:szCs w:val="28"/>
        </w:rPr>
      </w:pPr>
      <w:r w:rsidRPr="00C12E51">
        <w:rPr>
          <w:rFonts w:ascii="Cambria" w:hAnsi="Cambria"/>
          <w:b/>
          <w:sz w:val="28"/>
          <w:szCs w:val="28"/>
        </w:rPr>
        <w:t>KẾT QUẢ NỘI SOI THẮT TĨNH MẠCH THỰC QUẢN CẤP CỨU</w:t>
      </w:r>
    </w:p>
    <w:p w:rsidR="005C63BD" w:rsidRPr="00C12E51" w:rsidRDefault="005C63BD" w:rsidP="005C63BD">
      <w:pPr>
        <w:spacing w:before="120" w:after="120"/>
        <w:contextualSpacing/>
        <w:jc w:val="center"/>
        <w:rPr>
          <w:rFonts w:ascii="Cambria" w:hAnsi="Cambria"/>
          <w:b/>
          <w:sz w:val="28"/>
          <w:szCs w:val="28"/>
        </w:rPr>
      </w:pPr>
      <w:r w:rsidRPr="00C12E51">
        <w:rPr>
          <w:rFonts w:ascii="Cambria" w:hAnsi="Cambria"/>
          <w:b/>
          <w:sz w:val="28"/>
          <w:szCs w:val="28"/>
        </w:rPr>
        <w:t>ĐIỀU TRỊ CHẢY MÁU TIÊU HÓA DO HỘI CHỨNG</w:t>
      </w:r>
    </w:p>
    <w:p w:rsidR="005C63BD" w:rsidRPr="00C12E51" w:rsidRDefault="005C63BD" w:rsidP="005C63BD">
      <w:pPr>
        <w:spacing w:before="120" w:after="120"/>
        <w:contextualSpacing/>
        <w:jc w:val="center"/>
        <w:rPr>
          <w:rFonts w:ascii="Cambria" w:hAnsi="Cambria"/>
          <w:b/>
          <w:sz w:val="28"/>
          <w:szCs w:val="28"/>
        </w:rPr>
      </w:pPr>
      <w:r w:rsidRPr="00C12E51">
        <w:rPr>
          <w:rFonts w:ascii="Cambria" w:hAnsi="Cambria"/>
          <w:b/>
          <w:sz w:val="28"/>
          <w:szCs w:val="28"/>
        </w:rPr>
        <w:t>TĂNG ÁP LỰC TĨNH MẠCH CỬA Ở BỆNH NHÂN XƠ GAN</w:t>
      </w:r>
    </w:p>
    <w:p w:rsidR="005C63BD" w:rsidRPr="00D034AB" w:rsidRDefault="005C63BD" w:rsidP="005C63BD">
      <w:pPr>
        <w:overflowPunct/>
        <w:autoSpaceDE/>
        <w:autoSpaceDN/>
        <w:adjustRightInd/>
        <w:contextualSpacing/>
        <w:jc w:val="both"/>
        <w:textAlignment w:val="auto"/>
        <w:rPr>
          <w:sz w:val="24"/>
          <w:szCs w:val="24"/>
        </w:rPr>
      </w:pPr>
    </w:p>
    <w:p w:rsidR="005C63BD" w:rsidRPr="00D034AB" w:rsidRDefault="005C63BD" w:rsidP="005C63BD">
      <w:pPr>
        <w:overflowPunct/>
        <w:autoSpaceDE/>
        <w:autoSpaceDN/>
        <w:adjustRightInd/>
        <w:contextualSpacing/>
        <w:jc w:val="right"/>
        <w:textAlignment w:val="auto"/>
        <w:rPr>
          <w:rFonts w:ascii="Times New Roman" w:hAnsi="Times New Roman"/>
          <w:b/>
          <w:sz w:val="24"/>
          <w:szCs w:val="24"/>
        </w:rPr>
      </w:pPr>
      <w:r w:rsidRPr="00D034AB">
        <w:rPr>
          <w:rFonts w:ascii="Times New Roman" w:hAnsi="Times New Roman"/>
          <w:b/>
          <w:sz w:val="24"/>
          <w:szCs w:val="24"/>
        </w:rPr>
        <w:t>Nguyễn Tiến Thịnh*, Mai Hồng Bàng*, Dương Minh Thắng*,</w:t>
      </w:r>
    </w:p>
    <w:p w:rsidR="005C63BD" w:rsidRPr="00D034AB" w:rsidRDefault="005C63BD" w:rsidP="005C63BD">
      <w:pPr>
        <w:overflowPunct/>
        <w:autoSpaceDE/>
        <w:autoSpaceDN/>
        <w:adjustRightInd/>
        <w:contextualSpacing/>
        <w:jc w:val="right"/>
        <w:textAlignment w:val="auto"/>
        <w:rPr>
          <w:rFonts w:ascii="Times New Roman" w:hAnsi="Times New Roman"/>
          <w:b/>
          <w:sz w:val="24"/>
          <w:szCs w:val="24"/>
        </w:rPr>
      </w:pPr>
      <w:r w:rsidRPr="00D034AB">
        <w:rPr>
          <w:rFonts w:ascii="Times New Roman" w:hAnsi="Times New Roman"/>
          <w:b/>
          <w:sz w:val="24"/>
          <w:szCs w:val="24"/>
        </w:rPr>
        <w:t>Nguyễn Lâm Tùng*, Thái Doãn Kỳ*, Trịnh Xuân Hùng*</w:t>
      </w:r>
    </w:p>
    <w:p w:rsidR="005C63BD" w:rsidRDefault="005C63BD" w:rsidP="005C63BD">
      <w:pPr>
        <w:tabs>
          <w:tab w:val="left" w:pos="0"/>
        </w:tabs>
        <w:overflowPunct/>
        <w:autoSpaceDE/>
        <w:autoSpaceDN/>
        <w:adjustRightInd/>
        <w:contextualSpacing/>
        <w:jc w:val="both"/>
        <w:textAlignment w:val="auto"/>
        <w:rPr>
          <w:b/>
          <w:sz w:val="24"/>
          <w:szCs w:val="24"/>
        </w:rPr>
      </w:pPr>
    </w:p>
    <w:p w:rsidR="005C63BD" w:rsidRPr="00D034AB" w:rsidRDefault="005C63BD" w:rsidP="005C63BD">
      <w:pPr>
        <w:tabs>
          <w:tab w:val="left" w:pos="0"/>
        </w:tabs>
        <w:overflowPunct/>
        <w:autoSpaceDE/>
        <w:autoSpaceDN/>
        <w:adjustRightInd/>
        <w:contextualSpacing/>
        <w:jc w:val="both"/>
        <w:textAlignment w:val="auto"/>
        <w:rPr>
          <w:rFonts w:ascii="Calibri" w:hAnsi="Calibri" w:cs="Calibri"/>
          <w:b/>
          <w:sz w:val="24"/>
          <w:szCs w:val="24"/>
        </w:rPr>
      </w:pPr>
      <w:r w:rsidRPr="00D034AB">
        <w:rPr>
          <w:rFonts w:ascii="Calibri" w:hAnsi="Calibri" w:cs="Calibri"/>
          <w:b/>
          <w:sz w:val="24"/>
          <w:szCs w:val="24"/>
        </w:rPr>
        <w:t>TÓM TẮT</w:t>
      </w:r>
      <w:r w:rsidRPr="00D034AB">
        <w:rPr>
          <w:rStyle w:val="FootnoteReference"/>
          <w:rFonts w:ascii="Calibri" w:hAnsi="Calibri" w:cs="Calibri"/>
          <w:b/>
          <w:sz w:val="24"/>
          <w:szCs w:val="24"/>
        </w:rPr>
        <w:footnoteReference w:id="1"/>
      </w:r>
    </w:p>
    <w:p w:rsidR="005C63BD" w:rsidRPr="00D034AB" w:rsidRDefault="005C63BD" w:rsidP="005C63BD">
      <w:pPr>
        <w:overflowPunct/>
        <w:autoSpaceDE/>
        <w:autoSpaceDN/>
        <w:adjustRightInd/>
        <w:ind w:firstLine="360"/>
        <w:contextualSpacing/>
        <w:jc w:val="both"/>
        <w:textAlignment w:val="auto"/>
        <w:rPr>
          <w:sz w:val="24"/>
          <w:szCs w:val="24"/>
        </w:rPr>
      </w:pPr>
      <w:r w:rsidRPr="00D034AB">
        <w:rPr>
          <w:b/>
          <w:sz w:val="24"/>
          <w:szCs w:val="24"/>
        </w:rPr>
        <w:t>Mục đích:</w:t>
      </w:r>
      <w:r w:rsidRPr="00D034AB">
        <w:rPr>
          <w:sz w:val="24"/>
          <w:szCs w:val="24"/>
        </w:rPr>
        <w:t xml:space="preserve"> Đánh giá hiệu quả và an toàn kỹ thuật nội soi thắt tĩnh mạch thực quản cấp cứu trong điều trị chảy máu tiêu hóa do hội chứng tăng áp lực tĩnh mạch cửa ở bệnh nhân xơ gan</w:t>
      </w:r>
    </w:p>
    <w:p w:rsidR="005C63BD" w:rsidRPr="00D034AB" w:rsidRDefault="005C63BD" w:rsidP="005C63BD">
      <w:pPr>
        <w:overflowPunct/>
        <w:autoSpaceDE/>
        <w:autoSpaceDN/>
        <w:adjustRightInd/>
        <w:ind w:firstLine="360"/>
        <w:contextualSpacing/>
        <w:jc w:val="both"/>
        <w:textAlignment w:val="auto"/>
        <w:rPr>
          <w:sz w:val="24"/>
          <w:szCs w:val="24"/>
        </w:rPr>
      </w:pPr>
      <w:r w:rsidRPr="00D034AB">
        <w:rPr>
          <w:b/>
          <w:sz w:val="24"/>
          <w:szCs w:val="24"/>
        </w:rPr>
        <w:t>Đối tượng và phương pháp:</w:t>
      </w:r>
      <w:r w:rsidRPr="00D034AB">
        <w:rPr>
          <w:sz w:val="24"/>
          <w:szCs w:val="24"/>
        </w:rPr>
        <w:t xml:space="preserve"> Từ tháng 4/2011 đến tháng 4/2014, điều trị cấp cứu 40 bệnh nhân xơ gan tăng áp lực TM cửa có biến chứng chảy máu tiêu hóa do vỡ giãn TMTQ được xử trí nội soi thắt tĩnh mạch thực quản cấp cứu. Chúng tôi đánh giá kỹ thuật nội soi cấp cứu, hiệu quả và an toàn kỹ thuật trên bệnh nhân chảy máu tiêu hóa do xơ gan có hội chứng tăng áp lực tĩnh mạch cửa. </w:t>
      </w:r>
    </w:p>
    <w:p w:rsidR="005C63BD" w:rsidRPr="00D034AB" w:rsidRDefault="005C63BD" w:rsidP="005C63BD">
      <w:pPr>
        <w:tabs>
          <w:tab w:val="left" w:pos="0"/>
        </w:tabs>
        <w:overflowPunct/>
        <w:autoSpaceDE/>
        <w:autoSpaceDN/>
        <w:adjustRightInd/>
        <w:ind w:firstLine="360"/>
        <w:contextualSpacing/>
        <w:jc w:val="both"/>
        <w:textAlignment w:val="auto"/>
        <w:rPr>
          <w:bCs/>
          <w:iCs/>
          <w:sz w:val="24"/>
          <w:szCs w:val="24"/>
          <w:lang w:val="pt-BR"/>
        </w:rPr>
      </w:pPr>
      <w:r w:rsidRPr="00D034AB">
        <w:rPr>
          <w:b/>
          <w:sz w:val="24"/>
          <w:szCs w:val="24"/>
        </w:rPr>
        <w:t xml:space="preserve">Kết quả: </w:t>
      </w:r>
      <w:r w:rsidRPr="00D034AB">
        <w:rPr>
          <w:bCs/>
          <w:iCs/>
          <w:sz w:val="24"/>
          <w:szCs w:val="24"/>
        </w:rPr>
        <w:t xml:space="preserve">Tỷ lệ thành công kỹ thuật đạt 95,0%. </w:t>
      </w:r>
      <w:r w:rsidRPr="00D034AB">
        <w:rPr>
          <w:sz w:val="24"/>
          <w:szCs w:val="24"/>
          <w:lang w:val="pt-BR"/>
        </w:rPr>
        <w:t>Kết quả cầm máu trên lâm sàng sau 48 giờ và 72 giờ là 80,0% và 95,0%</w:t>
      </w:r>
      <w:r w:rsidRPr="00D034AB">
        <w:rPr>
          <w:bCs/>
          <w:iCs/>
          <w:sz w:val="24"/>
          <w:szCs w:val="24"/>
          <w:lang w:val="pt-BR"/>
        </w:rPr>
        <w:t xml:space="preserve">. </w:t>
      </w:r>
      <w:r w:rsidRPr="00D034AB">
        <w:rPr>
          <w:sz w:val="24"/>
          <w:szCs w:val="24"/>
          <w:lang w:val="pt-BR"/>
        </w:rPr>
        <w:t>Tỷ lệ CMTH tái phát tại thời điểm 3 và 12 tháng là 12,5% và 60,0%; và tỷ lệ CMTH tái phát liên quan đến xơ gan Child-Pugh A, B, C lần lượt là: 25,0%; 52,9%; 81,8% (p=0,024)</w:t>
      </w:r>
      <w:r w:rsidRPr="00D034AB">
        <w:rPr>
          <w:bCs/>
          <w:iCs/>
          <w:sz w:val="24"/>
          <w:szCs w:val="24"/>
          <w:lang w:val="pt-BR"/>
        </w:rPr>
        <w:t xml:space="preserve">. </w:t>
      </w:r>
      <w:r w:rsidRPr="00D034AB">
        <w:rPr>
          <w:sz w:val="24"/>
          <w:szCs w:val="24"/>
          <w:lang w:val="pt-BR"/>
        </w:rPr>
        <w:t>Là phương pháp an toàn, dung nạp tốt. Tác dụng phụ hay gặp là nuốt vướng (42,5%) và đau ngực (22,5%). Có một trường hợp biến chứng loét chân búi giãn (2,5%). Không có tử vong liên quan đến kỹ thuật.</w:t>
      </w:r>
    </w:p>
    <w:p w:rsidR="005C63BD" w:rsidRPr="00D034AB" w:rsidRDefault="005C63BD" w:rsidP="005C63BD">
      <w:pPr>
        <w:keepNext/>
        <w:widowControl w:val="0"/>
        <w:tabs>
          <w:tab w:val="left" w:pos="0"/>
        </w:tabs>
        <w:overflowPunct/>
        <w:autoSpaceDE/>
        <w:autoSpaceDN/>
        <w:adjustRightInd/>
        <w:ind w:firstLine="360"/>
        <w:contextualSpacing/>
        <w:jc w:val="both"/>
        <w:textAlignment w:val="auto"/>
        <w:outlineLvl w:val="0"/>
        <w:rPr>
          <w:b/>
          <w:sz w:val="24"/>
          <w:szCs w:val="24"/>
          <w:lang w:val="pt-BR"/>
        </w:rPr>
      </w:pPr>
      <w:r w:rsidRPr="00D034AB">
        <w:rPr>
          <w:b/>
          <w:sz w:val="24"/>
          <w:szCs w:val="24"/>
          <w:lang w:val="pt-BR"/>
        </w:rPr>
        <w:t xml:space="preserve">Kết luận: </w:t>
      </w:r>
      <w:r w:rsidRPr="00D034AB">
        <w:rPr>
          <w:sz w:val="24"/>
          <w:szCs w:val="24"/>
          <w:lang w:val="pt-BR"/>
        </w:rPr>
        <w:t>Nội soi thắt tĩnh mạch thực quản cấp cứu là phương pháp xử trí cầm máu có hiệu quả và an toàn cao trong điều trị chảy máu tiêu hóa ở bệnh nhân xơ gan có hội chứng tăng áp lực tĩnh mạch cửa.</w:t>
      </w:r>
    </w:p>
    <w:p w:rsidR="005C63BD" w:rsidRPr="00D034AB" w:rsidRDefault="005C63BD" w:rsidP="005C63BD">
      <w:pPr>
        <w:tabs>
          <w:tab w:val="left" w:pos="0"/>
        </w:tabs>
        <w:overflowPunct/>
        <w:autoSpaceDE/>
        <w:autoSpaceDN/>
        <w:adjustRightInd/>
        <w:ind w:firstLine="360"/>
        <w:contextualSpacing/>
        <w:jc w:val="both"/>
        <w:textAlignment w:val="auto"/>
        <w:rPr>
          <w:sz w:val="24"/>
          <w:szCs w:val="24"/>
          <w:lang w:val="pt-BR"/>
        </w:rPr>
      </w:pPr>
      <w:r w:rsidRPr="00D034AB">
        <w:rPr>
          <w:b/>
          <w:i/>
          <w:sz w:val="24"/>
          <w:szCs w:val="24"/>
          <w:lang w:val="pt-BR"/>
        </w:rPr>
        <w:t xml:space="preserve">Từ khóa: </w:t>
      </w:r>
      <w:r w:rsidRPr="00D034AB">
        <w:rPr>
          <w:sz w:val="24"/>
          <w:szCs w:val="24"/>
          <w:lang w:val="pt-BR"/>
        </w:rPr>
        <w:t>Chảy máu tiêu hóa do vỡ giãn tĩnh mạch thực quản, điều trị biến chứng tăng áp tĩnh mạch cửa, nội soi thắt tĩnh mạch thực quản cấp cứu</w:t>
      </w:r>
      <w:r w:rsidRPr="00D034AB">
        <w:rPr>
          <w:sz w:val="24"/>
          <w:szCs w:val="24"/>
          <w:lang w:val="pt-BR"/>
        </w:rPr>
        <w:tab/>
      </w:r>
    </w:p>
    <w:p w:rsidR="005C63BD" w:rsidRPr="00D034AB" w:rsidRDefault="005C63BD" w:rsidP="005C63BD">
      <w:pPr>
        <w:overflowPunct/>
        <w:autoSpaceDE/>
        <w:autoSpaceDN/>
        <w:adjustRightInd/>
        <w:contextualSpacing/>
        <w:textAlignment w:val="auto"/>
        <w:rPr>
          <w:b/>
          <w:sz w:val="24"/>
          <w:szCs w:val="24"/>
        </w:rPr>
      </w:pPr>
    </w:p>
    <w:p w:rsidR="005C63BD" w:rsidRPr="00D034AB" w:rsidRDefault="005C63BD" w:rsidP="005C63BD">
      <w:pPr>
        <w:overflowPunct/>
        <w:autoSpaceDE/>
        <w:autoSpaceDN/>
        <w:adjustRightInd/>
        <w:contextualSpacing/>
        <w:textAlignment w:val="auto"/>
        <w:rPr>
          <w:rFonts w:ascii="Calibri" w:hAnsi="Calibri" w:cs="Calibri"/>
          <w:b/>
          <w:sz w:val="24"/>
          <w:szCs w:val="24"/>
        </w:rPr>
      </w:pPr>
      <w:r w:rsidRPr="00D034AB">
        <w:rPr>
          <w:rFonts w:ascii="Calibri" w:hAnsi="Calibri" w:cs="Calibri"/>
          <w:b/>
          <w:sz w:val="24"/>
          <w:szCs w:val="24"/>
        </w:rPr>
        <w:t>SUMMARY</w:t>
      </w:r>
    </w:p>
    <w:p w:rsidR="005C63BD" w:rsidRPr="00D034AB" w:rsidRDefault="005C63BD" w:rsidP="005C63BD">
      <w:pPr>
        <w:overflowPunct/>
        <w:autoSpaceDE/>
        <w:autoSpaceDN/>
        <w:adjustRightInd/>
        <w:contextualSpacing/>
        <w:jc w:val="center"/>
        <w:textAlignment w:val="auto"/>
        <w:rPr>
          <w:b/>
          <w:sz w:val="24"/>
          <w:szCs w:val="24"/>
        </w:rPr>
      </w:pPr>
      <w:r w:rsidRPr="00D034AB">
        <w:rPr>
          <w:b/>
          <w:sz w:val="24"/>
          <w:szCs w:val="24"/>
        </w:rPr>
        <w:t>TREATMENT RESULTS OF EMERGENCY ENDOSCOPIC VARICEAL BAND LIGATION FOR GASTROINTESTINAL BLEEDING</w:t>
      </w:r>
    </w:p>
    <w:p w:rsidR="005C63BD" w:rsidRPr="00D034AB" w:rsidRDefault="005C63BD" w:rsidP="005C63BD">
      <w:pPr>
        <w:overflowPunct/>
        <w:autoSpaceDE/>
        <w:autoSpaceDN/>
        <w:adjustRightInd/>
        <w:contextualSpacing/>
        <w:jc w:val="center"/>
        <w:textAlignment w:val="auto"/>
        <w:rPr>
          <w:b/>
          <w:sz w:val="24"/>
          <w:szCs w:val="24"/>
        </w:rPr>
      </w:pPr>
      <w:r w:rsidRPr="00D034AB">
        <w:rPr>
          <w:b/>
          <w:sz w:val="24"/>
          <w:szCs w:val="24"/>
        </w:rPr>
        <w:t>IN CIRRHOTIC PATIENTS</w:t>
      </w:r>
    </w:p>
    <w:p w:rsidR="005C63BD" w:rsidRPr="00D034AB" w:rsidRDefault="005C63BD" w:rsidP="005C63BD">
      <w:pPr>
        <w:tabs>
          <w:tab w:val="left" w:pos="0"/>
        </w:tabs>
        <w:overflowPunct/>
        <w:autoSpaceDE/>
        <w:autoSpaceDN/>
        <w:adjustRightInd/>
        <w:ind w:firstLine="360"/>
        <w:contextualSpacing/>
        <w:jc w:val="both"/>
        <w:textAlignment w:val="auto"/>
        <w:rPr>
          <w:sz w:val="24"/>
          <w:szCs w:val="24"/>
          <w:lang w:val="pt-BR"/>
        </w:rPr>
      </w:pPr>
      <w:r w:rsidRPr="00D034AB">
        <w:rPr>
          <w:b/>
          <w:sz w:val="24"/>
          <w:szCs w:val="24"/>
          <w:lang w:val="pt-BR"/>
        </w:rPr>
        <w:t>Aims</w:t>
      </w:r>
      <w:r w:rsidRPr="00D034AB">
        <w:rPr>
          <w:sz w:val="24"/>
          <w:szCs w:val="24"/>
          <w:lang w:val="pt-BR"/>
        </w:rPr>
        <w:t>: to evaluate the efficacy and safety of endoscopic variceal band ligation for treatment of GI bleeding due to portal vein hypertension in cirrhotic patients.</w:t>
      </w:r>
    </w:p>
    <w:p w:rsidR="005C63BD" w:rsidRPr="00D034AB" w:rsidRDefault="005C63BD" w:rsidP="005C63BD">
      <w:pPr>
        <w:tabs>
          <w:tab w:val="left" w:pos="0"/>
        </w:tabs>
        <w:overflowPunct/>
        <w:autoSpaceDE/>
        <w:autoSpaceDN/>
        <w:adjustRightInd/>
        <w:ind w:firstLine="360"/>
        <w:contextualSpacing/>
        <w:jc w:val="both"/>
        <w:textAlignment w:val="auto"/>
        <w:rPr>
          <w:sz w:val="24"/>
          <w:szCs w:val="24"/>
          <w:lang w:val="pt-BR"/>
        </w:rPr>
      </w:pPr>
      <w:r w:rsidRPr="00D034AB">
        <w:rPr>
          <w:b/>
          <w:sz w:val="24"/>
          <w:szCs w:val="24"/>
          <w:lang w:val="pt-BR"/>
        </w:rPr>
        <w:t>Subjects and methods</w:t>
      </w:r>
      <w:r w:rsidRPr="00D034AB">
        <w:rPr>
          <w:sz w:val="24"/>
          <w:szCs w:val="24"/>
          <w:lang w:val="pt-BR"/>
        </w:rPr>
        <w:t>: From April 2011 to April 2014, 40 patients with cirrhosis complicated by variceal bleeding were treated by endoscopic variceal liagtion. We assessed the efficacy as well as the safety of the procedure in term of emergency treatment for variceal bleeding due to portal vein hypertension.</w:t>
      </w:r>
    </w:p>
    <w:p w:rsidR="005C63BD" w:rsidRPr="00D034AB" w:rsidRDefault="005C63BD" w:rsidP="005C63BD">
      <w:pPr>
        <w:tabs>
          <w:tab w:val="left" w:pos="0"/>
        </w:tabs>
        <w:overflowPunct/>
        <w:autoSpaceDE/>
        <w:autoSpaceDN/>
        <w:adjustRightInd/>
        <w:ind w:firstLine="360"/>
        <w:contextualSpacing/>
        <w:jc w:val="both"/>
        <w:textAlignment w:val="auto"/>
        <w:rPr>
          <w:sz w:val="24"/>
          <w:szCs w:val="24"/>
          <w:lang w:val="pt-BR"/>
        </w:rPr>
      </w:pPr>
      <w:r w:rsidRPr="00D034AB">
        <w:rPr>
          <w:b/>
          <w:sz w:val="24"/>
          <w:szCs w:val="24"/>
          <w:lang w:val="pt-BR"/>
        </w:rPr>
        <w:t>Results</w:t>
      </w:r>
      <w:r w:rsidRPr="00D034AB">
        <w:rPr>
          <w:sz w:val="24"/>
          <w:szCs w:val="24"/>
          <w:lang w:val="pt-BR"/>
        </w:rPr>
        <w:t>: the technical success rate was 95.0%. The rates of haemostasis at 48h and 72h post-intervention was 80.0% and 95.0%. The 3 month- and 12 month-rebleeding rates were 12.5% and 60%. The rates of rebleeding in patients with Child A, B or C were 25%; 52.9% and 81.8%, respectively (p=0.024). This is a safe procedure with one case of complication (ulcer) and no case of procedure-related death.</w:t>
      </w:r>
    </w:p>
    <w:p w:rsidR="005C63BD" w:rsidRPr="00D034AB" w:rsidRDefault="005C63BD" w:rsidP="005C63BD">
      <w:pPr>
        <w:tabs>
          <w:tab w:val="left" w:pos="0"/>
        </w:tabs>
        <w:overflowPunct/>
        <w:autoSpaceDE/>
        <w:autoSpaceDN/>
        <w:adjustRightInd/>
        <w:ind w:firstLine="360"/>
        <w:contextualSpacing/>
        <w:jc w:val="both"/>
        <w:textAlignment w:val="auto"/>
        <w:rPr>
          <w:sz w:val="24"/>
          <w:szCs w:val="24"/>
          <w:lang w:val="pt-BR"/>
        </w:rPr>
      </w:pPr>
      <w:r w:rsidRPr="00D034AB">
        <w:rPr>
          <w:b/>
          <w:sz w:val="24"/>
          <w:szCs w:val="24"/>
          <w:lang w:val="pt-BR"/>
        </w:rPr>
        <w:t>Conclusion</w:t>
      </w:r>
      <w:r w:rsidRPr="00D034AB">
        <w:rPr>
          <w:sz w:val="24"/>
          <w:szCs w:val="24"/>
          <w:lang w:val="pt-BR"/>
        </w:rPr>
        <w:t>: Endoscopic variceal band ligation is safe and effective for emergency treatment of patients with variceal bleeding due to portal vein hypertension.</w:t>
      </w:r>
    </w:p>
    <w:p w:rsidR="005C63BD" w:rsidRPr="00D034AB" w:rsidRDefault="005C63BD" w:rsidP="005C63BD">
      <w:pPr>
        <w:tabs>
          <w:tab w:val="left" w:pos="0"/>
        </w:tabs>
        <w:overflowPunct/>
        <w:autoSpaceDE/>
        <w:autoSpaceDN/>
        <w:adjustRightInd/>
        <w:ind w:firstLine="360"/>
        <w:contextualSpacing/>
        <w:jc w:val="both"/>
        <w:textAlignment w:val="auto"/>
        <w:rPr>
          <w:sz w:val="24"/>
          <w:szCs w:val="24"/>
          <w:lang w:val="pt-BR"/>
        </w:rPr>
      </w:pPr>
      <w:r w:rsidRPr="00D034AB">
        <w:rPr>
          <w:b/>
          <w:i/>
          <w:sz w:val="24"/>
          <w:szCs w:val="24"/>
          <w:lang w:val="pt-BR"/>
        </w:rPr>
        <w:t>Keywords:</w:t>
      </w:r>
      <w:r w:rsidRPr="00D034AB">
        <w:rPr>
          <w:sz w:val="24"/>
          <w:szCs w:val="24"/>
          <w:lang w:val="pt-BR"/>
        </w:rPr>
        <w:t xml:space="preserve"> variceal bleeding, portal vein hypertension, ligation</w:t>
      </w:r>
    </w:p>
    <w:p w:rsidR="008256DB" w:rsidRPr="005C63BD" w:rsidRDefault="008256DB" w:rsidP="005C63BD"/>
    <w:sectPr w:rsidR="008256DB" w:rsidRPr="005C63BD" w:rsidSect="005C63BD">
      <w:pgSz w:w="11906" w:h="16838"/>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BAB" w:rsidRDefault="00CC4BAB" w:rsidP="00CC06EC">
      <w:r>
        <w:separator/>
      </w:r>
    </w:p>
  </w:endnote>
  <w:endnote w:type="continuationSeparator" w:id="0">
    <w:p w:rsidR="00CC4BAB" w:rsidRDefault="00CC4BAB" w:rsidP="00CC0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BAB" w:rsidRDefault="00CC4BAB" w:rsidP="00CC06EC">
      <w:r>
        <w:separator/>
      </w:r>
    </w:p>
  </w:footnote>
  <w:footnote w:type="continuationSeparator" w:id="0">
    <w:p w:rsidR="00CC4BAB" w:rsidRDefault="00CC4BAB" w:rsidP="00CC06EC">
      <w:r>
        <w:continuationSeparator/>
      </w:r>
    </w:p>
  </w:footnote>
  <w:footnote w:id="1">
    <w:p w:rsidR="005C63BD" w:rsidRDefault="005C63BD" w:rsidP="005C63BD">
      <w:pPr>
        <w:contextualSpacing/>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A27"/>
    <w:rsid w:val="000020E0"/>
    <w:rsid w:val="00217C8B"/>
    <w:rsid w:val="002575F4"/>
    <w:rsid w:val="005C63BD"/>
    <w:rsid w:val="0076735B"/>
    <w:rsid w:val="008256DB"/>
    <w:rsid w:val="00996A27"/>
    <w:rsid w:val="009D4F2F"/>
    <w:rsid w:val="00CC06EC"/>
    <w:rsid w:val="00CC4BA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6C2BC-A619-4E2D-9358-58B98F151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6EC"/>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Body text (2) + Franklin Gothic Heavy1"/>
    <w:semiHidden/>
    <w:rsid w:val="00CC06EC"/>
    <w:rPr>
      <w:vertAlign w:val="superscript"/>
    </w:rPr>
  </w:style>
  <w:style w:type="character" w:styleId="Hyperlink">
    <w:name w:val="Hyperlink"/>
    <w:rsid w:val="0076735B"/>
    <w:rPr>
      <w:color w:val="0000FF"/>
      <w:u w:val="single"/>
    </w:rPr>
  </w:style>
  <w:style w:type="character" w:customStyle="1" w:styleId="hps">
    <w:name w:val="hps"/>
    <w:basedOn w:val="DefaultParagraphFont"/>
    <w:rsid w:val="002575F4"/>
  </w:style>
  <w:style w:type="paragraph" w:customStyle="1" w:styleId="ListParagraph1">
    <w:name w:val="List Paragraph1"/>
    <w:aliases w:val="Heading 41"/>
    <w:basedOn w:val="Normal"/>
    <w:link w:val="ListParagraphChar"/>
    <w:uiPriority w:val="34"/>
    <w:qFormat/>
    <w:rsid w:val="002575F4"/>
    <w:pPr>
      <w:overflowPunct/>
      <w:autoSpaceDE/>
      <w:autoSpaceDN/>
      <w:adjustRightInd/>
      <w:spacing w:after="200" w:line="276" w:lineRule="auto"/>
      <w:ind w:left="720"/>
      <w:contextualSpacing/>
      <w:textAlignment w:val="auto"/>
    </w:pPr>
    <w:rPr>
      <w:rFonts w:ascii="Calibri" w:eastAsia="Calibri" w:hAnsi="Calibri" w:cs="Times New Roman"/>
      <w:color w:val="auto"/>
      <w:sz w:val="22"/>
      <w:szCs w:val="22"/>
    </w:rPr>
  </w:style>
  <w:style w:type="character" w:customStyle="1" w:styleId="ListParagraphChar">
    <w:name w:val="List Paragraph Char"/>
    <w:aliases w:val="Heading 41 Char"/>
    <w:link w:val="ListParagraph1"/>
    <w:uiPriority w:val="34"/>
    <w:rsid w:val="002575F4"/>
    <w:rPr>
      <w:rFonts w:ascii="Calibri" w:eastAsia="Calibri" w:hAnsi="Calibri" w:cs="Times New Roman"/>
      <w:lang w:val="en-US"/>
    </w:rPr>
  </w:style>
  <w:style w:type="paragraph" w:styleId="Title">
    <w:name w:val="Title"/>
    <w:aliases w:val="DIEU1"/>
    <w:basedOn w:val="Normal"/>
    <w:link w:val="TitleChar1"/>
    <w:qFormat/>
    <w:rsid w:val="002575F4"/>
    <w:pPr>
      <w:overflowPunct/>
      <w:autoSpaceDE/>
      <w:autoSpaceDN/>
      <w:adjustRightInd/>
      <w:jc w:val="center"/>
      <w:textAlignment w:val="auto"/>
    </w:pPr>
    <w:rPr>
      <w:rFonts w:ascii=".VnTimeH" w:hAnsi=".VnTimeH" w:cs="Times New Roman"/>
      <w:color w:val="auto"/>
      <w:sz w:val="36"/>
    </w:rPr>
  </w:style>
  <w:style w:type="character" w:customStyle="1" w:styleId="TitleChar">
    <w:name w:val="Title Char"/>
    <w:basedOn w:val="DefaultParagraphFont"/>
    <w:uiPriority w:val="10"/>
    <w:rsid w:val="002575F4"/>
    <w:rPr>
      <w:rFonts w:asciiTheme="majorHAnsi" w:eastAsiaTheme="majorEastAsia" w:hAnsiTheme="majorHAnsi" w:cstheme="majorBidi"/>
      <w:spacing w:val="-10"/>
      <w:kern w:val="28"/>
      <w:sz w:val="56"/>
      <w:szCs w:val="56"/>
      <w:lang w:val="en-US"/>
    </w:rPr>
  </w:style>
  <w:style w:type="character" w:styleId="Strong">
    <w:name w:val="Strong"/>
    <w:aliases w:val="dieu,heading4"/>
    <w:qFormat/>
    <w:rsid w:val="002575F4"/>
    <w:rPr>
      <w:b/>
      <w:bCs/>
    </w:rPr>
  </w:style>
  <w:style w:type="character" w:customStyle="1" w:styleId="TitleChar1">
    <w:name w:val="Title Char1"/>
    <w:aliases w:val="DIEU1 Char"/>
    <w:link w:val="Title"/>
    <w:locked/>
    <w:rsid w:val="002575F4"/>
    <w:rPr>
      <w:rFonts w:ascii=".VnTimeH" w:eastAsia="Times New Roman" w:hAnsi=".VnTimeH" w:cs="Times New Roman"/>
      <w:sz w:val="3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427</Words>
  <Characters>2435</Characters>
  <Application>Microsoft Office Word</Application>
  <DocSecurity>0</DocSecurity>
  <Lines>20</Lines>
  <Paragraphs>5</Paragraphs>
  <ScaleCrop>false</ScaleCrop>
  <Company/>
  <LinksUpToDate>false</LinksUpToDate>
  <CharactersWithSpaces>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5</cp:revision>
  <dcterms:created xsi:type="dcterms:W3CDTF">2015-08-17T08:53:00Z</dcterms:created>
  <dcterms:modified xsi:type="dcterms:W3CDTF">2015-12-29T09:34:00Z</dcterms:modified>
</cp:coreProperties>
</file>