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0A" w:rsidRPr="00AC6553" w:rsidRDefault="0081020A" w:rsidP="0081020A">
      <w:pPr>
        <w:overflowPunct/>
        <w:autoSpaceDE/>
        <w:autoSpaceDN/>
        <w:adjustRightInd/>
        <w:spacing w:before="120" w:after="120"/>
        <w:contextualSpacing/>
        <w:jc w:val="center"/>
        <w:textAlignment w:val="auto"/>
        <w:rPr>
          <w:rFonts w:ascii="Cambria" w:eastAsia="Calibri" w:hAnsi="Cambria"/>
          <w:b/>
          <w:sz w:val="28"/>
          <w:szCs w:val="24"/>
        </w:rPr>
      </w:pPr>
      <w:r w:rsidRPr="00AC6553">
        <w:rPr>
          <w:rFonts w:ascii="Cambria" w:eastAsia="Calibri" w:hAnsi="Cambria"/>
          <w:b/>
          <w:sz w:val="28"/>
          <w:szCs w:val="24"/>
        </w:rPr>
        <w:t xml:space="preserve">GIÁ TRỊ CỘNG HƯỞNG TỪ SO SÁNH VỚI CHỤP CẮT LỚP VI TÍNH TRONG ĐÁNH GIÁ UNG THƯ BIỂU MÔ TẾ BÀO GAN </w:t>
      </w:r>
    </w:p>
    <w:p w:rsidR="0081020A" w:rsidRPr="00AC6553" w:rsidRDefault="0081020A" w:rsidP="0081020A">
      <w:pPr>
        <w:overflowPunct/>
        <w:autoSpaceDE/>
        <w:autoSpaceDN/>
        <w:adjustRightInd/>
        <w:spacing w:before="120" w:after="120"/>
        <w:contextualSpacing/>
        <w:jc w:val="center"/>
        <w:textAlignment w:val="auto"/>
        <w:rPr>
          <w:rFonts w:ascii="Cambria" w:eastAsia="Calibri" w:hAnsi="Cambria"/>
          <w:b/>
          <w:sz w:val="28"/>
          <w:szCs w:val="24"/>
        </w:rPr>
      </w:pPr>
      <w:r w:rsidRPr="00AC6553">
        <w:rPr>
          <w:rFonts w:ascii="Cambria" w:eastAsia="Calibri" w:hAnsi="Cambria"/>
          <w:b/>
          <w:sz w:val="28"/>
          <w:szCs w:val="24"/>
        </w:rPr>
        <w:t>SAU NÚT MẠCH HÓA DẦU</w:t>
      </w:r>
    </w:p>
    <w:p w:rsidR="0081020A" w:rsidRPr="00D034AB" w:rsidRDefault="0081020A" w:rsidP="0081020A">
      <w:pPr>
        <w:overflowPunct/>
        <w:autoSpaceDE/>
        <w:autoSpaceDN/>
        <w:adjustRightInd/>
        <w:contextualSpacing/>
        <w:textAlignment w:val="auto"/>
        <w:rPr>
          <w:rFonts w:ascii="Times New Roman" w:eastAsia="Calibri" w:hAnsi="Times New Roman"/>
          <w:sz w:val="24"/>
          <w:szCs w:val="24"/>
        </w:rPr>
      </w:pPr>
    </w:p>
    <w:p w:rsidR="0081020A" w:rsidRPr="00D034AB" w:rsidRDefault="0081020A" w:rsidP="0081020A">
      <w:pPr>
        <w:overflowPunct/>
        <w:autoSpaceDE/>
        <w:autoSpaceDN/>
        <w:adjustRightInd/>
        <w:contextualSpacing/>
        <w:jc w:val="right"/>
        <w:textAlignment w:val="auto"/>
        <w:rPr>
          <w:rFonts w:ascii="Times New Roman" w:eastAsia="Calibri" w:hAnsi="Times New Roman"/>
          <w:b/>
          <w:sz w:val="24"/>
          <w:szCs w:val="24"/>
          <w:lang w:val="vi-VN"/>
        </w:rPr>
      </w:pPr>
      <w:r w:rsidRPr="00D034AB">
        <w:rPr>
          <w:rFonts w:ascii="Times New Roman" w:eastAsia="Calibri" w:hAnsi="Times New Roman"/>
          <w:b/>
          <w:sz w:val="24"/>
          <w:szCs w:val="24"/>
        </w:rPr>
        <w:t>Huỳnh Quang Huy</w:t>
      </w:r>
      <w:r w:rsidRPr="00D034AB">
        <w:rPr>
          <w:rFonts w:ascii="Times New Roman" w:eastAsia="Calibri" w:hAnsi="Times New Roman"/>
          <w:b/>
          <w:sz w:val="24"/>
          <w:szCs w:val="24"/>
          <w:lang w:val="vi-VN"/>
        </w:rPr>
        <w:t>*</w:t>
      </w:r>
      <w:r w:rsidRPr="00D034AB">
        <w:rPr>
          <w:rFonts w:ascii="Times New Roman" w:eastAsia="Calibri" w:hAnsi="Times New Roman"/>
          <w:b/>
          <w:sz w:val="24"/>
          <w:szCs w:val="24"/>
        </w:rPr>
        <w:t>, Phạm Minh Thông</w:t>
      </w:r>
      <w:r w:rsidRPr="00D034AB">
        <w:rPr>
          <w:rFonts w:ascii="Times New Roman" w:eastAsia="Calibri" w:hAnsi="Times New Roman"/>
          <w:b/>
          <w:sz w:val="24"/>
          <w:szCs w:val="24"/>
          <w:lang w:val="vi-VN"/>
        </w:rPr>
        <w:t>*</w:t>
      </w:r>
    </w:p>
    <w:p w:rsidR="0081020A" w:rsidRDefault="0081020A" w:rsidP="0081020A">
      <w:pPr>
        <w:overflowPunct/>
        <w:autoSpaceDE/>
        <w:autoSpaceDN/>
        <w:adjustRightInd/>
        <w:contextualSpacing/>
        <w:textAlignment w:val="auto"/>
        <w:rPr>
          <w:rFonts w:ascii="Calibri" w:eastAsia="Calibri" w:hAnsi="Calibri"/>
          <w:b/>
          <w:sz w:val="24"/>
          <w:szCs w:val="24"/>
        </w:rPr>
      </w:pPr>
    </w:p>
    <w:p w:rsidR="0081020A" w:rsidRPr="00D034AB" w:rsidRDefault="0081020A" w:rsidP="0081020A">
      <w:pPr>
        <w:overflowPunct/>
        <w:autoSpaceDE/>
        <w:autoSpaceDN/>
        <w:adjustRightInd/>
        <w:contextualSpacing/>
        <w:textAlignment w:val="auto"/>
        <w:rPr>
          <w:rFonts w:ascii="Calibri" w:eastAsia="Calibri" w:hAnsi="Calibri"/>
          <w:b/>
          <w:sz w:val="24"/>
          <w:szCs w:val="24"/>
        </w:rPr>
      </w:pPr>
      <w:r w:rsidRPr="00D034AB">
        <w:rPr>
          <w:rFonts w:ascii="Calibri" w:eastAsia="Calibri" w:hAnsi="Calibri"/>
          <w:b/>
          <w:sz w:val="24"/>
          <w:szCs w:val="24"/>
        </w:rPr>
        <w:t>TÓM TẮT</w:t>
      </w:r>
      <w:r w:rsidRPr="00D034AB">
        <w:rPr>
          <w:rFonts w:ascii="Calibri" w:eastAsia="Calibri" w:hAnsi="Calibri"/>
          <w:b/>
          <w:sz w:val="24"/>
          <w:szCs w:val="24"/>
          <w:vertAlign w:val="superscript"/>
        </w:rPr>
        <w:footnoteReference w:id="1"/>
      </w:r>
    </w:p>
    <w:p w:rsidR="0081020A" w:rsidRPr="00D034AB" w:rsidRDefault="0081020A" w:rsidP="0081020A">
      <w:pPr>
        <w:overflowPunct/>
        <w:autoSpaceDE/>
        <w:autoSpaceDN/>
        <w:adjustRightInd/>
        <w:ind w:firstLine="360"/>
        <w:contextualSpacing/>
        <w:jc w:val="both"/>
        <w:textAlignment w:val="auto"/>
        <w:rPr>
          <w:rFonts w:eastAsia="Calibri"/>
          <w:bCs/>
          <w:sz w:val="24"/>
          <w:szCs w:val="24"/>
        </w:rPr>
      </w:pPr>
      <w:r w:rsidRPr="00D034AB">
        <w:rPr>
          <w:rFonts w:eastAsia="Calibri"/>
          <w:b/>
          <w:iCs/>
          <w:sz w:val="24"/>
          <w:szCs w:val="24"/>
        </w:rPr>
        <w:t>Mục tiêu:</w:t>
      </w:r>
      <w:r w:rsidRPr="00D034AB">
        <w:rPr>
          <w:rFonts w:eastAsia="Calibri"/>
          <w:b/>
          <w:bCs/>
          <w:sz w:val="24"/>
          <w:szCs w:val="24"/>
        </w:rPr>
        <w:t xml:space="preserve"> </w:t>
      </w:r>
      <w:r w:rsidRPr="00D034AB">
        <w:rPr>
          <w:rFonts w:eastAsia="Calibri"/>
          <w:bCs/>
          <w:sz w:val="24"/>
          <w:szCs w:val="24"/>
        </w:rPr>
        <w:t>Xác định giá trị cộng hưởng từ so sánh với chụp cắt lớp vi tính trong đánh giá ung thư biểu mô tế bào gan sau nút mạch hóa</w:t>
      </w:r>
      <w:bookmarkStart w:id="0" w:name="_GoBack"/>
      <w:bookmarkEnd w:id="0"/>
      <w:r w:rsidRPr="00D034AB">
        <w:rPr>
          <w:rFonts w:eastAsia="Calibri"/>
          <w:bCs/>
          <w:sz w:val="24"/>
          <w:szCs w:val="24"/>
        </w:rPr>
        <w:t xml:space="preserve"> dầu. </w:t>
      </w:r>
      <w:r w:rsidRPr="00D034AB">
        <w:rPr>
          <w:rFonts w:eastAsia="Calibri"/>
          <w:b/>
          <w:iCs/>
          <w:sz w:val="24"/>
          <w:szCs w:val="24"/>
        </w:rPr>
        <w:t>Đối tượng, phương pháp:</w:t>
      </w:r>
      <w:r w:rsidRPr="00D034AB">
        <w:rPr>
          <w:rFonts w:eastAsia="Calibri"/>
          <w:b/>
          <w:bCs/>
          <w:sz w:val="24"/>
          <w:szCs w:val="24"/>
        </w:rPr>
        <w:t xml:space="preserve"> </w:t>
      </w:r>
      <w:r w:rsidRPr="00D034AB">
        <w:rPr>
          <w:rFonts w:eastAsia="Calibri"/>
          <w:bCs/>
          <w:sz w:val="24"/>
          <w:szCs w:val="24"/>
        </w:rPr>
        <w:t xml:space="preserve">29 bệnh nhân UBTG được điều trị bằng phương pháp NMHD. Thiết kê nghiên cứu mô tả cắt ngang: sau điều trị NMHD, chụp CHT và CLVT để đánh giá tình trạng tăng sinh mạch khối u, phát hiện tổn thương thứ phát và huyết khối TMC ác tính. </w:t>
      </w:r>
      <w:r w:rsidRPr="00D034AB">
        <w:rPr>
          <w:rFonts w:eastAsia="Calibri"/>
          <w:b/>
          <w:iCs/>
          <w:sz w:val="24"/>
          <w:szCs w:val="24"/>
        </w:rPr>
        <w:t>Kết quả:</w:t>
      </w:r>
      <w:r w:rsidRPr="00D034AB">
        <w:rPr>
          <w:rFonts w:eastAsia="Calibri"/>
          <w:b/>
          <w:bCs/>
          <w:sz w:val="24"/>
          <w:szCs w:val="24"/>
        </w:rPr>
        <w:t xml:space="preserve"> </w:t>
      </w:r>
      <w:r w:rsidRPr="00D034AB">
        <w:rPr>
          <w:rFonts w:eastAsia="Calibri"/>
          <w:bCs/>
          <w:sz w:val="24"/>
          <w:szCs w:val="24"/>
        </w:rPr>
        <w:t>Đối với những khối u lấp nhiều lipiodol có tăng sinh mạch trên chụp động mạch gan: Cộng hưởng từ phát hiện tăng sinh mạch (97,3%) tốt hơn so với chụp cắt lớp vi tính (16,2%). Cộng hưởng từ xác định tổn thương thứ phát ở gan tốt hơn chụp cắt lớp vi tính: với 33,3% trường hợp có tổn thương thứ phát trên cộng hưởng từ nhưng chụp cắt lớp vi tính không xác định được. Cộng hưởng từ chẩn đoán huyết khối tĩnh mạch cửa ác tính tốt hơn chụp cắt lớp vi tính (với 6,9% các trường hợp chụp cả hai phương pháp</w:t>
      </w:r>
      <w:r w:rsidRPr="00D034AB">
        <w:rPr>
          <w:rFonts w:eastAsia="Calibri"/>
          <w:sz w:val="24"/>
          <w:szCs w:val="24"/>
        </w:rPr>
        <w:t xml:space="preserve"> </w:t>
      </w:r>
      <w:r w:rsidRPr="00D034AB">
        <w:rPr>
          <w:rFonts w:eastAsia="Calibri"/>
          <w:bCs/>
          <w:sz w:val="24"/>
          <w:szCs w:val="24"/>
        </w:rPr>
        <w:t xml:space="preserve">có huyết khối tĩnh mạch cửa). </w:t>
      </w:r>
      <w:r w:rsidRPr="00D034AB">
        <w:rPr>
          <w:rFonts w:eastAsia="Calibri"/>
          <w:b/>
          <w:iCs/>
          <w:sz w:val="24"/>
          <w:szCs w:val="24"/>
        </w:rPr>
        <w:t>Kết luận:</w:t>
      </w:r>
      <w:r w:rsidRPr="00D034AB">
        <w:rPr>
          <w:rFonts w:eastAsia="Calibri"/>
          <w:b/>
          <w:bCs/>
          <w:sz w:val="24"/>
          <w:szCs w:val="24"/>
        </w:rPr>
        <w:t xml:space="preserve"> </w:t>
      </w:r>
      <w:r w:rsidRPr="00D034AB">
        <w:rPr>
          <w:rFonts w:eastAsia="Calibri"/>
          <w:bCs/>
          <w:sz w:val="24"/>
          <w:szCs w:val="24"/>
        </w:rPr>
        <w:t>CHT có giá trị hơn chụp CLVT chẩn đoán tăng sinh mạch, tổn thương thứ phát và huyết khối TMC ác tính.</w:t>
      </w:r>
    </w:p>
    <w:p w:rsidR="0081020A" w:rsidRPr="00D034AB" w:rsidRDefault="0081020A" w:rsidP="0081020A">
      <w:pPr>
        <w:overflowPunct/>
        <w:autoSpaceDE/>
        <w:autoSpaceDN/>
        <w:adjustRightInd/>
        <w:contextualSpacing/>
        <w:textAlignment w:val="auto"/>
        <w:rPr>
          <w:rFonts w:eastAsia="Calibri"/>
          <w:bCs/>
          <w:sz w:val="24"/>
          <w:szCs w:val="24"/>
        </w:rPr>
      </w:pPr>
    </w:p>
    <w:p w:rsidR="0081020A" w:rsidRPr="00D034AB" w:rsidRDefault="0081020A" w:rsidP="0081020A">
      <w:pPr>
        <w:overflowPunct/>
        <w:autoSpaceDE/>
        <w:autoSpaceDN/>
        <w:adjustRightInd/>
        <w:contextualSpacing/>
        <w:textAlignment w:val="auto"/>
        <w:rPr>
          <w:rFonts w:ascii="Calibri" w:eastAsia="Calibri" w:hAnsi="Calibri"/>
          <w:b/>
          <w:sz w:val="24"/>
          <w:szCs w:val="24"/>
        </w:rPr>
      </w:pPr>
      <w:r w:rsidRPr="00D034AB">
        <w:rPr>
          <w:rFonts w:ascii="Calibri" w:eastAsia="Calibri" w:hAnsi="Calibri"/>
          <w:b/>
          <w:sz w:val="24"/>
          <w:szCs w:val="24"/>
        </w:rPr>
        <w:t>SUMMARY</w:t>
      </w:r>
    </w:p>
    <w:p w:rsidR="0081020A" w:rsidRPr="00D034AB" w:rsidRDefault="0081020A" w:rsidP="0081020A">
      <w:pPr>
        <w:overflowPunct/>
        <w:autoSpaceDE/>
        <w:autoSpaceDN/>
        <w:adjustRightInd/>
        <w:contextualSpacing/>
        <w:jc w:val="center"/>
        <w:textAlignment w:val="auto"/>
        <w:rPr>
          <w:rFonts w:eastAsia="Calibri"/>
          <w:b/>
          <w:sz w:val="24"/>
          <w:szCs w:val="24"/>
        </w:rPr>
      </w:pPr>
      <w:r w:rsidRPr="00D034AB">
        <w:rPr>
          <w:rFonts w:eastAsia="Calibri"/>
          <w:b/>
          <w:sz w:val="24"/>
          <w:szCs w:val="24"/>
        </w:rPr>
        <w:t>THE ROLE OF MRI IN THE EVALUATION OF HEPATOCELLULAR CARCINOMA AFTER TOCE TREATMENT</w:t>
      </w:r>
    </w:p>
    <w:p w:rsidR="0081020A" w:rsidRPr="00D034AB" w:rsidRDefault="0081020A" w:rsidP="0081020A">
      <w:pPr>
        <w:overflowPunct/>
        <w:autoSpaceDE/>
        <w:autoSpaceDN/>
        <w:adjustRightInd/>
        <w:ind w:firstLine="360"/>
        <w:contextualSpacing/>
        <w:jc w:val="both"/>
        <w:textAlignment w:val="auto"/>
        <w:rPr>
          <w:rFonts w:eastAsia="Calibri"/>
          <w:sz w:val="24"/>
          <w:szCs w:val="24"/>
        </w:rPr>
      </w:pPr>
      <w:r w:rsidRPr="00D034AB">
        <w:rPr>
          <w:rFonts w:eastAsia="Calibri"/>
          <w:b/>
          <w:iCs/>
          <w:sz w:val="24"/>
          <w:szCs w:val="24"/>
        </w:rPr>
        <w:t>Objective:</w:t>
      </w:r>
      <w:r w:rsidRPr="00D034AB">
        <w:rPr>
          <w:rFonts w:eastAsia="Calibri"/>
          <w:b/>
          <w:bCs/>
          <w:sz w:val="24"/>
          <w:szCs w:val="24"/>
        </w:rPr>
        <w:t xml:space="preserve"> </w:t>
      </w:r>
      <w:r w:rsidRPr="00D034AB">
        <w:rPr>
          <w:rFonts w:eastAsia="Calibri"/>
          <w:bCs/>
          <w:sz w:val="24"/>
          <w:szCs w:val="24"/>
        </w:rPr>
        <w:t>To determine the role of MRI compared with CT scan in evaluation the treatment outcomes HCC after TOCE treatment.</w:t>
      </w:r>
      <w:r w:rsidRPr="00D034AB">
        <w:rPr>
          <w:rFonts w:eastAsia="Calibri"/>
          <w:sz w:val="24"/>
          <w:szCs w:val="24"/>
        </w:rPr>
        <w:t xml:space="preserve"> </w:t>
      </w:r>
      <w:r w:rsidRPr="00D034AB">
        <w:rPr>
          <w:rFonts w:eastAsia="Calibri"/>
          <w:b/>
          <w:iCs/>
          <w:sz w:val="24"/>
          <w:szCs w:val="24"/>
        </w:rPr>
        <w:t>Subjects and Methods:</w:t>
      </w:r>
      <w:r w:rsidRPr="00D034AB">
        <w:rPr>
          <w:rFonts w:eastAsia="Calibri"/>
          <w:b/>
          <w:bCs/>
          <w:sz w:val="24"/>
          <w:szCs w:val="24"/>
        </w:rPr>
        <w:t xml:space="preserve"> </w:t>
      </w:r>
      <w:r w:rsidRPr="00D034AB">
        <w:rPr>
          <w:rFonts w:eastAsia="Calibri"/>
          <w:bCs/>
          <w:sz w:val="24"/>
          <w:szCs w:val="24"/>
        </w:rPr>
        <w:t>29 HCC patients were treated with TOCE method. Designing cross-sectional descriptive study: the value of MRI in assessment hypervascular neoplasm of the tumor after treatment (compare with hepatic DSA as the gold standard for diagnosis). Comparing the diagnostic capabilities of MRI with CT scan.</w:t>
      </w:r>
      <w:r w:rsidRPr="00D034AB">
        <w:rPr>
          <w:rFonts w:eastAsia="Calibri"/>
          <w:sz w:val="24"/>
          <w:szCs w:val="24"/>
        </w:rPr>
        <w:t xml:space="preserve"> </w:t>
      </w:r>
      <w:r w:rsidRPr="00D034AB">
        <w:rPr>
          <w:rFonts w:eastAsia="Calibri"/>
          <w:b/>
          <w:iCs/>
          <w:sz w:val="24"/>
          <w:szCs w:val="24"/>
        </w:rPr>
        <w:t>Results:</w:t>
      </w:r>
      <w:r w:rsidRPr="00D034AB">
        <w:rPr>
          <w:rFonts w:eastAsia="Calibri"/>
          <w:b/>
          <w:bCs/>
          <w:sz w:val="24"/>
          <w:szCs w:val="24"/>
        </w:rPr>
        <w:t xml:space="preserve"> </w:t>
      </w:r>
      <w:r w:rsidRPr="00D034AB">
        <w:rPr>
          <w:rFonts w:eastAsia="Calibri"/>
          <w:bCs/>
          <w:sz w:val="24"/>
          <w:szCs w:val="24"/>
        </w:rPr>
        <w:t>MRI can detect hypervascular neoplasm better than than CT scanner does, with the rate of 97,3% and 16,2%. MRI can detect hepatic secondary lesions more than CT scanner does, with 33.3% cases of hepatic secondary lesions on MRI not detected by CT scanner. MRI can detect the malignant portal venous thrombosis (6,9%), while CT scanner can not do that.</w:t>
      </w:r>
      <w:r w:rsidRPr="00D034AB">
        <w:rPr>
          <w:rFonts w:eastAsia="Calibri"/>
          <w:sz w:val="24"/>
          <w:szCs w:val="24"/>
        </w:rPr>
        <w:t xml:space="preserve"> </w:t>
      </w:r>
      <w:r w:rsidRPr="00D034AB">
        <w:rPr>
          <w:rFonts w:eastAsia="Calibri"/>
          <w:b/>
          <w:iCs/>
          <w:sz w:val="24"/>
          <w:szCs w:val="24"/>
        </w:rPr>
        <w:t>Conclusion:</w:t>
      </w:r>
      <w:r w:rsidRPr="00D034AB">
        <w:rPr>
          <w:rFonts w:eastAsia="Calibri"/>
          <w:bCs/>
          <w:sz w:val="24"/>
          <w:szCs w:val="24"/>
        </w:rPr>
        <w:t xml:space="preserve"> MRI could detect hypervascular neoplasm, secondary lesions and malignant thrombosis better than CT scan does.</w:t>
      </w:r>
    </w:p>
    <w:p w:rsidR="008256DB" w:rsidRPr="0081020A" w:rsidRDefault="008256DB" w:rsidP="0081020A"/>
    <w:sectPr w:rsidR="008256DB" w:rsidRPr="0081020A" w:rsidSect="00BC16E3">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9D8" w:rsidRDefault="00BE29D8" w:rsidP="00BC16E3">
      <w:r>
        <w:separator/>
      </w:r>
    </w:p>
  </w:endnote>
  <w:endnote w:type="continuationSeparator" w:id="0">
    <w:p w:rsidR="00BE29D8" w:rsidRDefault="00BE29D8" w:rsidP="00BC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9D8" w:rsidRDefault="00BE29D8" w:rsidP="00BC16E3">
      <w:r>
        <w:separator/>
      </w:r>
    </w:p>
  </w:footnote>
  <w:footnote w:type="continuationSeparator" w:id="0">
    <w:p w:rsidR="00BE29D8" w:rsidRDefault="00BE29D8" w:rsidP="00BC16E3">
      <w:r>
        <w:continuationSeparator/>
      </w:r>
    </w:p>
  </w:footnote>
  <w:footnote w:id="1">
    <w:p w:rsidR="0081020A" w:rsidRPr="00B00448" w:rsidRDefault="0081020A" w:rsidP="0081020A">
      <w:pPr>
        <w:contextualSpacing/>
        <w:jc w:val="both"/>
        <w:rPr>
          <w:rFonts w:ascii="Calibri" w:hAnsi="Calibr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77"/>
    <w:rsid w:val="002359D0"/>
    <w:rsid w:val="003026CA"/>
    <w:rsid w:val="00603977"/>
    <w:rsid w:val="0081020A"/>
    <w:rsid w:val="008256DB"/>
    <w:rsid w:val="009733A5"/>
    <w:rsid w:val="00B07E35"/>
    <w:rsid w:val="00BC16E3"/>
    <w:rsid w:val="00BE29D8"/>
    <w:rsid w:val="00E078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EB752-4931-44DE-A070-BDDD03D7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6E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BC16E3"/>
    <w:rPr>
      <w:vertAlign w:val="superscript"/>
    </w:rPr>
  </w:style>
  <w:style w:type="paragraph" w:styleId="Footer">
    <w:name w:val="footer"/>
    <w:aliases w:val="FooterQ"/>
    <w:basedOn w:val="Normal"/>
    <w:link w:val="FooterChar1"/>
    <w:uiPriority w:val="99"/>
    <w:rsid w:val="00B07E35"/>
    <w:pPr>
      <w:tabs>
        <w:tab w:val="center" w:pos="4320"/>
        <w:tab w:val="right" w:pos="8640"/>
      </w:tabs>
      <w:overflowPunct/>
      <w:autoSpaceDE/>
      <w:autoSpaceDN/>
      <w:adjustRightInd/>
      <w:textAlignment w:val="auto"/>
    </w:pPr>
    <w:rPr>
      <w:rFonts w:ascii=".VnTime" w:hAnsi=".VnTime" w:cs="Times New Roman"/>
      <w:color w:val="auto"/>
      <w:sz w:val="28"/>
      <w:szCs w:val="28"/>
    </w:rPr>
  </w:style>
  <w:style w:type="character" w:customStyle="1" w:styleId="FooterChar">
    <w:name w:val="Footer Char"/>
    <w:basedOn w:val="DefaultParagraphFont"/>
    <w:uiPriority w:val="99"/>
    <w:semiHidden/>
    <w:rsid w:val="00B07E35"/>
    <w:rPr>
      <w:rFonts w:ascii="Tahoma" w:eastAsia="Times New Roman" w:hAnsi="Tahoma" w:cs="Tahoma"/>
      <w:color w:val="000000"/>
      <w:sz w:val="20"/>
      <w:szCs w:val="20"/>
      <w:lang w:val="en-US"/>
    </w:rPr>
  </w:style>
  <w:style w:type="character" w:customStyle="1" w:styleId="FooterChar1">
    <w:name w:val="Footer Char1"/>
    <w:aliases w:val="FooterQ Char"/>
    <w:link w:val="Footer"/>
    <w:uiPriority w:val="99"/>
    <w:rsid w:val="00B07E35"/>
    <w:rPr>
      <w:rFonts w:ascii=".VnTime" w:eastAsia="Times New Roman" w:hAnsi=".VnTime" w:cs="Times New Roman"/>
      <w:sz w:val="28"/>
      <w:szCs w:val="28"/>
      <w:lang w:val="en-US"/>
    </w:rPr>
  </w:style>
  <w:style w:type="paragraph" w:customStyle="1" w:styleId="ListParagraph1">
    <w:name w:val="List Paragraph1"/>
    <w:aliases w:val="Heading 41"/>
    <w:basedOn w:val="Normal"/>
    <w:link w:val="ListParagraphChar"/>
    <w:uiPriority w:val="34"/>
    <w:qFormat/>
    <w:rsid w:val="00E07819"/>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34"/>
    <w:rsid w:val="00E07819"/>
    <w:rPr>
      <w:rFonts w:ascii="Calibri" w:eastAsia="Calibri" w:hAnsi="Calibri" w:cs="Times New Roman"/>
      <w:lang w:val="en-US"/>
    </w:rPr>
  </w:style>
  <w:style w:type="character" w:styleId="Hyperlink">
    <w:name w:val="Hyperlink"/>
    <w:rsid w:val="0081020A"/>
    <w:rPr>
      <w:color w:val="0000FF"/>
      <w:u w:val="single"/>
    </w:rPr>
  </w:style>
  <w:style w:type="paragraph" w:customStyle="1" w:styleId="10">
    <w:name w:val="10"/>
    <w:basedOn w:val="Normal"/>
    <w:qFormat/>
    <w:rsid w:val="0081020A"/>
    <w:pPr>
      <w:keepNext/>
      <w:overflowPunct/>
      <w:autoSpaceDE/>
      <w:autoSpaceDN/>
      <w:adjustRightInd/>
      <w:spacing w:after="120" w:line="360" w:lineRule="auto"/>
      <w:jc w:val="center"/>
      <w:textAlignment w:val="auto"/>
      <w:outlineLvl w:val="0"/>
    </w:pPr>
    <w:rPr>
      <w:rFonts w:ascii="Times New Roman" w:hAnsi="Times New Roman" w:cs="Times New Roman"/>
      <w:b/>
      <w:color w:val="auto"/>
      <w:spacing w:val="6"/>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2015-08-17T09:00:00Z</dcterms:created>
  <dcterms:modified xsi:type="dcterms:W3CDTF">2015-12-29T09:41:00Z</dcterms:modified>
</cp:coreProperties>
</file>