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CE6" w:rsidRPr="00454225" w:rsidRDefault="00FE5CE6" w:rsidP="00FE5CE6">
      <w:pPr>
        <w:contextualSpacing/>
        <w:jc w:val="center"/>
        <w:rPr>
          <w:rFonts w:ascii="Cambria" w:hAnsi="Cambria"/>
          <w:b/>
          <w:bCs/>
          <w:sz w:val="28"/>
          <w:szCs w:val="28"/>
        </w:rPr>
      </w:pPr>
      <w:r w:rsidRPr="00454225">
        <w:rPr>
          <w:rFonts w:ascii="Cambria" w:hAnsi="Cambria"/>
          <w:b/>
          <w:bCs/>
          <w:sz w:val="28"/>
          <w:szCs w:val="28"/>
        </w:rPr>
        <w:t>TÌNH TRẠNG MẬT ĐỘ XƯƠNG VÀ DỰ BÁO NGUY CƠ</w:t>
      </w:r>
      <w:bookmarkStart w:id="0" w:name="_GoBack"/>
      <w:bookmarkEnd w:id="0"/>
      <w:r w:rsidRPr="00454225">
        <w:rPr>
          <w:rFonts w:ascii="Cambria" w:hAnsi="Cambria"/>
          <w:b/>
          <w:bCs/>
          <w:sz w:val="28"/>
          <w:szCs w:val="28"/>
        </w:rPr>
        <w:t xml:space="preserve"> GÃY XƯƠNG </w:t>
      </w:r>
    </w:p>
    <w:p w:rsidR="00FE5CE6" w:rsidRPr="00454225" w:rsidRDefault="00FE5CE6" w:rsidP="00FE5CE6">
      <w:pPr>
        <w:contextualSpacing/>
        <w:jc w:val="center"/>
        <w:rPr>
          <w:rFonts w:ascii="Cambria" w:hAnsi="Cambria"/>
          <w:b/>
          <w:bCs/>
          <w:sz w:val="24"/>
          <w:szCs w:val="24"/>
        </w:rPr>
      </w:pPr>
      <w:r w:rsidRPr="00454225">
        <w:rPr>
          <w:rFonts w:ascii="Cambria" w:hAnsi="Cambria"/>
          <w:b/>
          <w:bCs/>
          <w:sz w:val="28"/>
          <w:szCs w:val="28"/>
        </w:rPr>
        <w:t>SAU 10 NĂM THEO MÔ HÌNH FRAX Ở NAM GIỚI TRÊN 50 TUỔI</w:t>
      </w:r>
    </w:p>
    <w:p w:rsidR="00FE5CE6" w:rsidRPr="00454225" w:rsidRDefault="00FE5CE6" w:rsidP="00FE5CE6">
      <w:pPr>
        <w:contextualSpacing/>
        <w:jc w:val="center"/>
        <w:rPr>
          <w:rFonts w:ascii="Cambria" w:hAnsi="Cambria"/>
          <w:b/>
          <w:bCs/>
          <w:sz w:val="24"/>
          <w:szCs w:val="24"/>
        </w:rPr>
      </w:pPr>
    </w:p>
    <w:p w:rsidR="00FE5CE6" w:rsidRPr="00454225" w:rsidRDefault="00FE5CE6" w:rsidP="00FE5CE6">
      <w:pPr>
        <w:contextualSpacing/>
        <w:jc w:val="right"/>
        <w:rPr>
          <w:rFonts w:ascii="Times New Roman" w:hAnsi="Times New Roman"/>
          <w:b/>
          <w:bCs/>
          <w:sz w:val="24"/>
          <w:szCs w:val="24"/>
        </w:rPr>
      </w:pPr>
      <w:r w:rsidRPr="00454225">
        <w:rPr>
          <w:rFonts w:ascii="Times New Roman" w:hAnsi="Times New Roman"/>
          <w:b/>
          <w:bCs/>
          <w:sz w:val="24"/>
          <w:szCs w:val="24"/>
        </w:rPr>
        <w:t>Lưu Thị Bình*, Võ Thị Ngọc Anh*</w:t>
      </w:r>
    </w:p>
    <w:p w:rsidR="00FE5CE6" w:rsidRDefault="00FE5CE6" w:rsidP="00FE5CE6">
      <w:pPr>
        <w:contextualSpacing/>
        <w:jc w:val="both"/>
        <w:rPr>
          <w:rFonts w:ascii="Calibri" w:hAnsi="Calibri"/>
          <w:b/>
          <w:bCs/>
          <w:sz w:val="24"/>
          <w:szCs w:val="24"/>
        </w:rPr>
      </w:pPr>
    </w:p>
    <w:p w:rsidR="00FE5CE6" w:rsidRPr="00454225" w:rsidRDefault="00FE5CE6" w:rsidP="00FE5CE6">
      <w:pPr>
        <w:contextualSpacing/>
        <w:jc w:val="both"/>
        <w:rPr>
          <w:rFonts w:ascii="Calibri" w:hAnsi="Calibri"/>
          <w:b/>
          <w:bCs/>
          <w:sz w:val="24"/>
          <w:szCs w:val="24"/>
        </w:rPr>
      </w:pPr>
      <w:r w:rsidRPr="00454225">
        <w:rPr>
          <w:rFonts w:ascii="Calibri" w:hAnsi="Calibri"/>
          <w:b/>
          <w:bCs/>
          <w:sz w:val="24"/>
          <w:szCs w:val="24"/>
        </w:rPr>
        <w:t>TÓM TẮT</w:t>
      </w:r>
      <w:r w:rsidRPr="00454225">
        <w:rPr>
          <w:rStyle w:val="FootnoteReference"/>
          <w:rFonts w:ascii="Calibri" w:hAnsi="Calibri"/>
          <w:b/>
          <w:bCs/>
          <w:sz w:val="24"/>
          <w:szCs w:val="24"/>
        </w:rPr>
        <w:footnoteReference w:id="1"/>
      </w:r>
    </w:p>
    <w:p w:rsidR="00FE5CE6" w:rsidRPr="00454225" w:rsidRDefault="00FE5CE6" w:rsidP="00FE5CE6">
      <w:pPr>
        <w:ind w:firstLine="360"/>
        <w:contextualSpacing/>
        <w:jc w:val="both"/>
        <w:rPr>
          <w:sz w:val="24"/>
          <w:szCs w:val="24"/>
          <w:lang w:val="it-IT"/>
        </w:rPr>
      </w:pPr>
      <w:r w:rsidRPr="00454225">
        <w:rPr>
          <w:b/>
          <w:bCs/>
          <w:sz w:val="24"/>
          <w:szCs w:val="24"/>
        </w:rPr>
        <w:t xml:space="preserve">Mục tiêu: </w:t>
      </w:r>
      <w:r w:rsidRPr="00454225">
        <w:rPr>
          <w:sz w:val="24"/>
          <w:szCs w:val="24"/>
        </w:rPr>
        <w:t>Mô tả</w:t>
      </w:r>
      <w:r>
        <w:rPr>
          <w:sz w:val="24"/>
          <w:szCs w:val="24"/>
        </w:rPr>
        <w:t xml:space="preserve"> </w:t>
      </w:r>
      <w:r w:rsidRPr="00454225">
        <w:rPr>
          <w:sz w:val="24"/>
          <w:szCs w:val="24"/>
        </w:rPr>
        <w:t xml:space="preserve">tình trạng mật độ xương (MĐX) và dự báo nguy cơ gãy xương sau 10 năm theo mô hình FRAX ở nam giới trên 50 tuổi. </w:t>
      </w:r>
      <w:r w:rsidRPr="00454225">
        <w:rPr>
          <w:b/>
          <w:bCs/>
          <w:sz w:val="24"/>
          <w:szCs w:val="24"/>
        </w:rPr>
        <w:t>Đối tượng và phương pháp nghiên cứu:</w:t>
      </w:r>
      <w:r w:rsidRPr="00454225">
        <w:rPr>
          <w:sz w:val="24"/>
          <w:szCs w:val="24"/>
        </w:rPr>
        <w:t xml:space="preserve"> Nghiên cứu mô tả cắt ngang42 đối tượng nam giới trên 50 tuổi được đo MĐX bằng máy DEXA, chẩn đoán loãng xương dựa vào MĐX theo tiêu chuẩn của WHO 1994. </w:t>
      </w:r>
      <w:r w:rsidRPr="00454225">
        <w:rPr>
          <w:b/>
          <w:bCs/>
          <w:sz w:val="24"/>
          <w:szCs w:val="24"/>
        </w:rPr>
        <w:t>Kết quả:</w:t>
      </w:r>
      <w:r w:rsidRPr="00454225">
        <w:rPr>
          <w:b/>
          <w:bCs/>
          <w:sz w:val="24"/>
          <w:szCs w:val="24"/>
          <w:lang w:val="vi-VN"/>
        </w:rPr>
        <w:t xml:space="preserve"> </w:t>
      </w:r>
      <w:r w:rsidRPr="00454225">
        <w:rPr>
          <w:sz w:val="24"/>
          <w:szCs w:val="24"/>
          <w:lang w:val="pt-BR"/>
        </w:rPr>
        <w:t xml:space="preserve">Tỷ lệ loãng xương là 31% (cột sống thắt lưng: 23,8%; chỏm xương đùi: 16,7%), tỷ lệ loãng xương nặng là 7,1%. </w:t>
      </w:r>
      <w:r w:rsidRPr="00454225">
        <w:rPr>
          <w:sz w:val="24"/>
          <w:szCs w:val="24"/>
          <w:lang w:val="it-IT"/>
        </w:rPr>
        <w:t>MĐX có mối liên quan đồng biến với chiều cao, cân nặng (p&lt;0,05) và mối liên quan nghịch biến với tuổi (p&lt;0,05). Theo mô hình FRAX, 11,9% bệnh nhân có nguy cơ cao gãy xương sau 10 năm.Xác suất gãy xương trung bình 10 năm tới ở cổ xương đùi thấp hơn xác suất gãy xương khác có ý nghĩa thống kê (p&lt;0,05).</w:t>
      </w:r>
      <w:r w:rsidRPr="00454225">
        <w:rPr>
          <w:b/>
          <w:bCs/>
          <w:sz w:val="24"/>
          <w:szCs w:val="24"/>
          <w:lang w:val="it-IT"/>
        </w:rPr>
        <w:t xml:space="preserve">Kết luận: </w:t>
      </w:r>
      <w:r w:rsidRPr="00454225">
        <w:rPr>
          <w:sz w:val="24"/>
          <w:szCs w:val="24"/>
          <w:lang w:val="it-IT"/>
        </w:rPr>
        <w:t>Tỷ lệ loãng xương ở nam giới trên 50 tuổi là 31%. Theo mô hình FRAX, tỷ lệ bệnh nhân có nguy cơ cao gãy xương sau 10 năm là 11,9%.</w:t>
      </w:r>
    </w:p>
    <w:p w:rsidR="00FE5CE6" w:rsidRDefault="00FE5CE6" w:rsidP="00FE5CE6">
      <w:pPr>
        <w:contextualSpacing/>
        <w:jc w:val="both"/>
        <w:rPr>
          <w:b/>
          <w:bCs/>
          <w:i/>
          <w:iCs/>
          <w:sz w:val="24"/>
          <w:szCs w:val="24"/>
          <w:lang w:val="vi-VN"/>
        </w:rPr>
      </w:pPr>
    </w:p>
    <w:p w:rsidR="00FE5CE6" w:rsidRPr="00454225" w:rsidRDefault="00FE5CE6" w:rsidP="00FE5CE6">
      <w:pPr>
        <w:contextualSpacing/>
        <w:jc w:val="both"/>
        <w:rPr>
          <w:iCs/>
          <w:sz w:val="24"/>
          <w:szCs w:val="24"/>
          <w:lang w:val="it-IT"/>
        </w:rPr>
      </w:pPr>
      <w:r w:rsidRPr="00454225">
        <w:rPr>
          <w:b/>
          <w:bCs/>
          <w:i/>
          <w:iCs/>
          <w:sz w:val="24"/>
          <w:szCs w:val="24"/>
          <w:lang w:val="vi-VN"/>
        </w:rPr>
        <w:t>Từ khoá:</w:t>
      </w:r>
      <w:r w:rsidRPr="00454225">
        <w:rPr>
          <w:iCs/>
          <w:sz w:val="24"/>
          <w:szCs w:val="24"/>
          <w:lang w:val="it-IT"/>
        </w:rPr>
        <w:t xml:space="preserve"> Mật độ xương, hấp thụ năng lượng tia X kép, mô hình FRAX.</w:t>
      </w:r>
    </w:p>
    <w:p w:rsidR="00FE5CE6" w:rsidRPr="00454225" w:rsidRDefault="00FE5CE6" w:rsidP="00FE5CE6">
      <w:pPr>
        <w:ind w:firstLine="720"/>
        <w:contextualSpacing/>
        <w:jc w:val="both"/>
        <w:rPr>
          <w:i/>
          <w:iCs/>
          <w:sz w:val="24"/>
          <w:szCs w:val="24"/>
          <w:lang w:val="it-IT"/>
        </w:rPr>
      </w:pPr>
    </w:p>
    <w:p w:rsidR="00FE5CE6" w:rsidRPr="00454225" w:rsidRDefault="00FE5CE6" w:rsidP="00FE5CE6">
      <w:pPr>
        <w:contextualSpacing/>
        <w:jc w:val="both"/>
        <w:rPr>
          <w:rFonts w:ascii="Calibri" w:hAnsi="Calibri"/>
          <w:b/>
          <w:bCs/>
          <w:sz w:val="24"/>
          <w:szCs w:val="24"/>
        </w:rPr>
      </w:pPr>
      <w:r w:rsidRPr="00454225">
        <w:rPr>
          <w:rFonts w:ascii="Calibri" w:hAnsi="Calibri"/>
          <w:b/>
          <w:bCs/>
          <w:sz w:val="24"/>
          <w:szCs w:val="24"/>
        </w:rPr>
        <w:t>SUM</w:t>
      </w:r>
      <w:r w:rsidRPr="00454225">
        <w:rPr>
          <w:rFonts w:ascii="Calibri" w:hAnsi="Calibri"/>
          <w:b/>
          <w:bCs/>
          <w:sz w:val="24"/>
          <w:szCs w:val="24"/>
          <w:lang w:val="vi-VN"/>
        </w:rPr>
        <w:t>M</w:t>
      </w:r>
      <w:r w:rsidRPr="00454225">
        <w:rPr>
          <w:rFonts w:ascii="Calibri" w:hAnsi="Calibri"/>
          <w:b/>
          <w:bCs/>
          <w:sz w:val="24"/>
          <w:szCs w:val="24"/>
        </w:rPr>
        <w:t>ARY</w:t>
      </w:r>
    </w:p>
    <w:p w:rsidR="00FE5CE6" w:rsidRPr="00454225" w:rsidRDefault="00FE5CE6" w:rsidP="00FE5CE6">
      <w:pPr>
        <w:contextualSpacing/>
        <w:jc w:val="center"/>
        <w:rPr>
          <w:b/>
          <w:sz w:val="24"/>
          <w:szCs w:val="24"/>
        </w:rPr>
      </w:pPr>
      <w:r w:rsidRPr="00454225">
        <w:rPr>
          <w:b/>
          <w:sz w:val="24"/>
          <w:szCs w:val="24"/>
        </w:rPr>
        <w:t>THE BONE MASS DENSITY AND TEN YEARS PROBABILITY OF FRACTURE OF MAN AGED ABOVE 50 BY FRAX TOOL.</w:t>
      </w:r>
    </w:p>
    <w:p w:rsidR="00FE5CE6" w:rsidRPr="00454225" w:rsidRDefault="00FE5CE6" w:rsidP="00FE5CE6">
      <w:pPr>
        <w:pStyle w:val="Heading1"/>
        <w:shd w:val="clear" w:color="auto" w:fill="FFFFFF"/>
        <w:ind w:firstLine="360"/>
        <w:contextualSpacing/>
        <w:jc w:val="both"/>
        <w:rPr>
          <w:rFonts w:ascii="Tahoma" w:hAnsi="Tahoma" w:cs="Tahoma"/>
          <w:bCs w:val="0"/>
          <w:color w:val="000000"/>
          <w:szCs w:val="24"/>
        </w:rPr>
      </w:pPr>
      <w:r w:rsidRPr="00B96481">
        <w:rPr>
          <w:rFonts w:ascii="Tahoma" w:hAnsi="Tahoma" w:cs="Tahoma"/>
          <w:color w:val="000000"/>
          <w:szCs w:val="24"/>
        </w:rPr>
        <w:t>Aim</w:t>
      </w:r>
      <w:r w:rsidRPr="00454225">
        <w:rPr>
          <w:rFonts w:ascii="Tahoma" w:hAnsi="Tahoma" w:cs="Tahoma"/>
          <w:b w:val="0"/>
          <w:color w:val="000000"/>
          <w:szCs w:val="24"/>
        </w:rPr>
        <w:t>:</w:t>
      </w:r>
      <w:r w:rsidRPr="00454225">
        <w:rPr>
          <w:rFonts w:ascii="Tahoma" w:hAnsi="Tahoma" w:cs="Tahoma"/>
          <w:bCs w:val="0"/>
          <w:color w:val="000000"/>
          <w:szCs w:val="24"/>
        </w:rPr>
        <w:t xml:space="preserve"> </w:t>
      </w:r>
      <w:r w:rsidRPr="00B96481">
        <w:rPr>
          <w:rFonts w:ascii="Tahoma" w:hAnsi="Tahoma" w:cs="Tahoma"/>
          <w:b w:val="0"/>
          <w:bCs w:val="0"/>
          <w:color w:val="000000"/>
          <w:szCs w:val="24"/>
        </w:rPr>
        <w:t>To determine the bone mass density (BMD) and predict ten years probability of fracture of man aged above 50 by FRAX tool</w:t>
      </w:r>
      <w:r w:rsidRPr="00454225">
        <w:rPr>
          <w:rFonts w:ascii="Tahoma" w:hAnsi="Tahoma" w:cs="Tahoma"/>
          <w:bCs w:val="0"/>
          <w:color w:val="000000"/>
          <w:szCs w:val="24"/>
        </w:rPr>
        <w:t xml:space="preserve">. </w:t>
      </w:r>
      <w:r w:rsidRPr="00B96481">
        <w:rPr>
          <w:rFonts w:ascii="Tahoma" w:hAnsi="Tahoma" w:cs="Tahoma"/>
          <w:color w:val="000000"/>
          <w:szCs w:val="24"/>
        </w:rPr>
        <w:t>Subjects and Methods</w:t>
      </w:r>
      <w:r w:rsidRPr="00454225">
        <w:rPr>
          <w:rFonts w:ascii="Tahoma" w:hAnsi="Tahoma" w:cs="Tahoma"/>
          <w:b w:val="0"/>
          <w:color w:val="000000"/>
          <w:szCs w:val="24"/>
        </w:rPr>
        <w:t>:</w:t>
      </w:r>
      <w:r w:rsidRPr="00454225">
        <w:rPr>
          <w:rFonts w:ascii="Tahoma" w:hAnsi="Tahoma" w:cs="Tahoma"/>
          <w:bCs w:val="0"/>
          <w:color w:val="000000"/>
          <w:szCs w:val="24"/>
        </w:rPr>
        <w:t xml:space="preserve"> </w:t>
      </w:r>
      <w:r w:rsidRPr="00B96481">
        <w:rPr>
          <w:rFonts w:ascii="Tahoma" w:hAnsi="Tahoma" w:cs="Tahoma"/>
          <w:b w:val="0"/>
          <w:bCs w:val="0"/>
          <w:color w:val="000000"/>
          <w:szCs w:val="24"/>
        </w:rPr>
        <w:t>Cross-sectional study 42 patients accessed BMD by dual energy Xray absorptiometry, diagnosed osteoporosis by WHO 1994 criteria</w:t>
      </w:r>
      <w:r w:rsidRPr="00454225">
        <w:rPr>
          <w:rFonts w:ascii="Tahoma" w:hAnsi="Tahoma" w:cs="Tahoma"/>
          <w:bCs w:val="0"/>
          <w:color w:val="000000"/>
          <w:szCs w:val="24"/>
        </w:rPr>
        <w:t>.</w:t>
      </w:r>
      <w:r>
        <w:rPr>
          <w:rFonts w:ascii="Tahoma" w:hAnsi="Tahoma" w:cs="Tahoma"/>
          <w:bCs w:val="0"/>
          <w:color w:val="000000"/>
          <w:szCs w:val="24"/>
        </w:rPr>
        <w:t xml:space="preserve"> </w:t>
      </w:r>
      <w:r w:rsidRPr="00454225">
        <w:rPr>
          <w:rFonts w:ascii="Tahoma" w:hAnsi="Tahoma" w:cs="Tahoma"/>
          <w:color w:val="000000"/>
          <w:szCs w:val="24"/>
        </w:rPr>
        <w:t>Result:</w:t>
      </w:r>
      <w:r w:rsidRPr="00B96481">
        <w:rPr>
          <w:rFonts w:ascii="Tahoma" w:hAnsi="Tahoma" w:cs="Tahoma"/>
          <w:b w:val="0"/>
          <w:bCs w:val="0"/>
          <w:color w:val="000000"/>
          <w:szCs w:val="24"/>
        </w:rPr>
        <w:t>R</w:t>
      </w:r>
      <w:r w:rsidRPr="00B96481">
        <w:rPr>
          <w:rFonts w:ascii="Tahoma" w:hAnsi="Tahoma" w:cs="Tahoma"/>
          <w:b w:val="0"/>
          <w:bCs w:val="0"/>
          <w:color w:val="000000"/>
          <w:szCs w:val="24"/>
          <w:lang w:val="it-IT"/>
        </w:rPr>
        <w:t xml:space="preserve">atio of osteoporosis was 31% (lumber spine: 23.8%; left hip: 16.7%), ratio of server osteoporosis: 7.1%. </w:t>
      </w:r>
      <w:r w:rsidRPr="00B96481">
        <w:rPr>
          <w:rFonts w:ascii="Tahoma" w:hAnsi="Tahoma" w:cs="Tahoma"/>
          <w:b w:val="0"/>
          <w:bCs w:val="0"/>
          <w:color w:val="000000"/>
          <w:szCs w:val="24"/>
        </w:rPr>
        <w:t>BMD had correlate to height, weight, age (p&lt;0.05). There was 11.9% of patients had high ten years probability of fracture according to FRAX model. Ten years probability of fracture at femoral neck was lower than other position with p &lt;0.05.</w:t>
      </w:r>
      <w:r w:rsidRPr="00454225">
        <w:rPr>
          <w:rFonts w:ascii="Tahoma" w:hAnsi="Tahoma" w:cs="Tahoma"/>
          <w:bCs w:val="0"/>
          <w:color w:val="000000"/>
          <w:szCs w:val="24"/>
          <w:lang w:val="vi-VN"/>
        </w:rPr>
        <w:t xml:space="preserve"> </w:t>
      </w:r>
      <w:r w:rsidRPr="00B96481">
        <w:rPr>
          <w:rFonts w:ascii="Tahoma" w:hAnsi="Tahoma" w:cs="Tahoma"/>
          <w:color w:val="000000"/>
          <w:szCs w:val="24"/>
        </w:rPr>
        <w:t>Conclusion</w:t>
      </w:r>
      <w:r w:rsidRPr="00454225">
        <w:rPr>
          <w:rFonts w:ascii="Tahoma" w:hAnsi="Tahoma" w:cs="Tahoma"/>
          <w:b w:val="0"/>
          <w:color w:val="000000"/>
          <w:szCs w:val="24"/>
        </w:rPr>
        <w:t>:</w:t>
      </w:r>
      <w:r w:rsidRPr="00454225">
        <w:rPr>
          <w:rFonts w:ascii="Tahoma" w:hAnsi="Tahoma" w:cs="Tahoma"/>
          <w:color w:val="000000"/>
          <w:szCs w:val="24"/>
        </w:rPr>
        <w:t xml:space="preserve"> </w:t>
      </w:r>
      <w:r w:rsidRPr="00B96481">
        <w:rPr>
          <w:rFonts w:ascii="Tahoma" w:hAnsi="Tahoma" w:cs="Tahoma"/>
          <w:b w:val="0"/>
          <w:bCs w:val="0"/>
          <w:color w:val="000000"/>
          <w:szCs w:val="24"/>
        </w:rPr>
        <w:t>Osteoporosis ratio of man aged above 50 was 31%. According to FRAX model, 11.9% of patients had high ten years probability of fracture.</w:t>
      </w:r>
    </w:p>
    <w:p w:rsidR="00FE5CE6" w:rsidRPr="00454225" w:rsidRDefault="00FE5CE6" w:rsidP="00FE5CE6">
      <w:pPr>
        <w:ind w:firstLine="360"/>
        <w:contextualSpacing/>
        <w:jc w:val="both"/>
        <w:rPr>
          <w:bCs/>
          <w:sz w:val="24"/>
          <w:szCs w:val="24"/>
        </w:rPr>
      </w:pPr>
    </w:p>
    <w:p w:rsidR="00FE5CE6" w:rsidRPr="00454225" w:rsidRDefault="00FE5CE6" w:rsidP="00FE5CE6">
      <w:pPr>
        <w:pStyle w:val="Heading1"/>
        <w:shd w:val="clear" w:color="auto" w:fill="FFFFFF"/>
        <w:contextualSpacing/>
        <w:jc w:val="both"/>
        <w:rPr>
          <w:rFonts w:ascii="Tahoma" w:hAnsi="Tahoma" w:cs="Tahoma"/>
          <w:b w:val="0"/>
          <w:bCs w:val="0"/>
          <w:iCs/>
          <w:color w:val="000000"/>
          <w:szCs w:val="24"/>
        </w:rPr>
      </w:pPr>
      <w:r w:rsidRPr="00454225">
        <w:rPr>
          <w:rFonts w:ascii="Tahoma" w:hAnsi="Tahoma" w:cs="Tahoma"/>
          <w:i/>
          <w:iCs/>
          <w:color w:val="000000"/>
          <w:szCs w:val="24"/>
        </w:rPr>
        <w:t>Keywords:</w:t>
      </w:r>
      <w:r w:rsidRPr="00454225">
        <w:rPr>
          <w:rFonts w:ascii="Tahoma" w:hAnsi="Tahoma" w:cs="Tahoma"/>
          <w:i/>
          <w:iCs/>
          <w:color w:val="000000"/>
          <w:szCs w:val="24"/>
          <w:lang w:val="vi-VN"/>
        </w:rPr>
        <w:t xml:space="preserve"> </w:t>
      </w:r>
      <w:r w:rsidRPr="00454225">
        <w:rPr>
          <w:rFonts w:ascii="Tahoma" w:hAnsi="Tahoma" w:cs="Tahoma"/>
          <w:b w:val="0"/>
          <w:bCs w:val="0"/>
          <w:iCs/>
          <w:color w:val="000000"/>
          <w:szCs w:val="24"/>
        </w:rPr>
        <w:t>Bone mass density, dual energy Xray abssorptiometry, FRAX model</w:t>
      </w:r>
    </w:p>
    <w:p w:rsidR="002A36A5" w:rsidRPr="00FE5CE6" w:rsidRDefault="002A36A5" w:rsidP="00FE5CE6"/>
    <w:sectPr w:rsidR="002A36A5" w:rsidRPr="00FE5CE6">
      <w:headerReference w:type="even" r:id="rId6"/>
      <w:headerReference w:type="default" r:id="rId7"/>
      <w:footerReference w:type="even"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1B0" w:rsidRDefault="00E811B0" w:rsidP="002A36A5">
      <w:r>
        <w:separator/>
      </w:r>
    </w:p>
  </w:endnote>
  <w:endnote w:type="continuationSeparator" w:id="0">
    <w:p w:rsidR="00E811B0" w:rsidRDefault="00E811B0" w:rsidP="002A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VnArial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A5" w:rsidRPr="00DF5709" w:rsidRDefault="002A36A5">
    <w:pPr>
      <w:pStyle w:val="Footer"/>
      <w:rPr>
        <w:sz w:val="18"/>
        <w:szCs w:val="18"/>
      </w:rPr>
    </w:pPr>
    <w:r w:rsidRPr="00DF5709">
      <w:rPr>
        <w:sz w:val="18"/>
        <w:szCs w:val="18"/>
      </w:rPr>
      <w:fldChar w:fldCharType="begin"/>
    </w:r>
    <w:r w:rsidRPr="00DF5709">
      <w:rPr>
        <w:sz w:val="18"/>
        <w:szCs w:val="18"/>
      </w:rPr>
      <w:instrText xml:space="preserve"> PAGE   \* MERGEFORMAT </w:instrText>
    </w:r>
    <w:r w:rsidRPr="00DF5709">
      <w:rPr>
        <w:sz w:val="18"/>
        <w:szCs w:val="18"/>
      </w:rPr>
      <w:fldChar w:fldCharType="separate"/>
    </w:r>
    <w:r>
      <w:rPr>
        <w:noProof/>
        <w:sz w:val="18"/>
        <w:szCs w:val="18"/>
      </w:rPr>
      <w:t>2</w:t>
    </w:r>
    <w:r w:rsidRPr="00DF5709">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A5" w:rsidRPr="00DF5709" w:rsidRDefault="002A36A5">
    <w:pPr>
      <w:pStyle w:val="Footer"/>
      <w:jc w:val="right"/>
      <w:rPr>
        <w:sz w:val="18"/>
        <w:szCs w:val="18"/>
      </w:rPr>
    </w:pPr>
    <w:r w:rsidRPr="00DF5709">
      <w:rPr>
        <w:sz w:val="18"/>
        <w:szCs w:val="18"/>
      </w:rPr>
      <w:fldChar w:fldCharType="begin"/>
    </w:r>
    <w:r w:rsidRPr="00DF5709">
      <w:rPr>
        <w:sz w:val="18"/>
        <w:szCs w:val="18"/>
      </w:rPr>
      <w:instrText xml:space="preserve"> PAGE   \* MERGEFORMAT </w:instrText>
    </w:r>
    <w:r w:rsidRPr="00DF5709">
      <w:rPr>
        <w:sz w:val="18"/>
        <w:szCs w:val="18"/>
      </w:rPr>
      <w:fldChar w:fldCharType="separate"/>
    </w:r>
    <w:r w:rsidR="00FE5CE6">
      <w:rPr>
        <w:noProof/>
        <w:sz w:val="18"/>
        <w:szCs w:val="18"/>
      </w:rPr>
      <w:t>1</w:t>
    </w:r>
    <w:r w:rsidRPr="00DF5709">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1B0" w:rsidRDefault="00E811B0" w:rsidP="002A36A5">
      <w:r>
        <w:separator/>
      </w:r>
    </w:p>
  </w:footnote>
  <w:footnote w:type="continuationSeparator" w:id="0">
    <w:p w:rsidR="00E811B0" w:rsidRDefault="00E811B0" w:rsidP="002A36A5">
      <w:r>
        <w:continuationSeparator/>
      </w:r>
    </w:p>
  </w:footnote>
  <w:footnote w:id="1">
    <w:p w:rsidR="00FE5CE6" w:rsidRPr="00DC61BF" w:rsidRDefault="00FE5CE6" w:rsidP="00FE5CE6">
      <w:pPr>
        <w:contextualSpacing/>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A5" w:rsidRDefault="002A36A5" w:rsidP="004242B9">
    <w:pPr>
      <w:pStyle w:val="Header"/>
      <w:pBdr>
        <w:bottom w:val="single" w:sz="4" w:space="0" w:color="auto"/>
      </w:pBdr>
      <w:tabs>
        <w:tab w:val="clear" w:pos="4320"/>
        <w:tab w:val="clear" w:pos="8640"/>
        <w:tab w:val="left" w:pos="0"/>
      </w:tabs>
      <w:jc w:val="center"/>
    </w:pPr>
    <w:r>
      <w:rPr>
        <w:rFonts w:ascii=".VnArialH" w:hAnsi=".VnArialH"/>
        <w:b/>
        <w:sz w:val="16"/>
        <w:szCs w:val="16"/>
      </w:rPr>
      <w:t>Y häc viÖt nam th¸ng 7 - sè 1/2015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6A5" w:rsidRDefault="002A36A5" w:rsidP="004242B9">
    <w:pPr>
      <w:pStyle w:val="Header"/>
      <w:pBdr>
        <w:bottom w:val="single" w:sz="4" w:space="0" w:color="auto"/>
      </w:pBdr>
      <w:tabs>
        <w:tab w:val="clear" w:pos="4320"/>
        <w:tab w:val="clear" w:pos="8640"/>
        <w:tab w:val="left" w:pos="0"/>
      </w:tabs>
      <w:jc w:val="center"/>
    </w:pPr>
    <w:r>
      <w:rPr>
        <w:rFonts w:ascii=".VnArialH" w:hAnsi=".VnArialH"/>
        <w:b/>
        <w:sz w:val="16"/>
        <w:szCs w:val="16"/>
      </w:rPr>
      <w:t xml:space="preserve">Y häc viÖt nam th¸ng </w:t>
    </w:r>
    <w:r w:rsidR="002916C0">
      <w:rPr>
        <w:rFonts w:ascii=".VnArialH" w:hAnsi=".VnArialH"/>
        <w:b/>
        <w:sz w:val="16"/>
        <w:szCs w:val="16"/>
      </w:rPr>
      <w:t>1</w:t>
    </w:r>
    <w:r w:rsidR="00FE5CE6">
      <w:rPr>
        <w:rFonts w:ascii=".VnArialH" w:hAnsi=".VnArialH"/>
        <w:b/>
        <w:sz w:val="16"/>
        <w:szCs w:val="16"/>
      </w:rPr>
      <w:t>2</w:t>
    </w:r>
    <w:r>
      <w:rPr>
        <w:rFonts w:ascii=".VnArialH" w:hAnsi=".VnArialH"/>
        <w:b/>
        <w:sz w:val="16"/>
        <w:szCs w:val="16"/>
      </w:rPr>
      <w:t xml:space="preserve"> - sè 1/2015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1E1"/>
    <w:rsid w:val="002916C0"/>
    <w:rsid w:val="002A36A5"/>
    <w:rsid w:val="004B11E1"/>
    <w:rsid w:val="006406DF"/>
    <w:rsid w:val="008256DB"/>
    <w:rsid w:val="00853CFE"/>
    <w:rsid w:val="00A45FC2"/>
    <w:rsid w:val="00B8020D"/>
    <w:rsid w:val="00E811B0"/>
    <w:rsid w:val="00FE5CE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01D02-A54D-4668-B0FD-95940390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6A5"/>
    <w:pPr>
      <w:overflowPunct w:val="0"/>
      <w:autoSpaceDE w:val="0"/>
      <w:autoSpaceDN w:val="0"/>
      <w:adjustRightInd w:val="0"/>
      <w:spacing w:after="0" w:line="240" w:lineRule="auto"/>
      <w:textAlignment w:val="baseline"/>
    </w:pPr>
    <w:rPr>
      <w:rFonts w:ascii="Tahoma" w:eastAsia="Times New Roman" w:hAnsi="Tahoma" w:cs="Tahoma"/>
      <w:color w:val="000000"/>
      <w:sz w:val="20"/>
      <w:szCs w:val="20"/>
      <w:lang w:val="en-US"/>
    </w:rPr>
  </w:style>
  <w:style w:type="paragraph" w:styleId="Heading1">
    <w:name w:val="heading 1"/>
    <w:aliases w:val="Heading 1Q,dieu1,Dieu,so1,Heading 1 Char Char,Heading 31,Heading 311"/>
    <w:basedOn w:val="Normal"/>
    <w:next w:val="Normal"/>
    <w:link w:val="Heading1Char2"/>
    <w:qFormat/>
    <w:rsid w:val="00FE5CE6"/>
    <w:pPr>
      <w:keepNext/>
      <w:jc w:val="center"/>
      <w:outlineLvl w:val="0"/>
    </w:pPr>
    <w:rPr>
      <w:rFonts w:ascii=".VnTimeH" w:hAnsi=".VnTimeH" w:cs="Times New Roman"/>
      <w:b/>
      <w:b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Q"/>
    <w:basedOn w:val="Normal"/>
    <w:link w:val="FooterChar1"/>
    <w:uiPriority w:val="99"/>
    <w:rsid w:val="002A36A5"/>
    <w:pPr>
      <w:tabs>
        <w:tab w:val="center" w:pos="4320"/>
        <w:tab w:val="right" w:pos="8640"/>
      </w:tabs>
      <w:overflowPunct/>
      <w:autoSpaceDE/>
      <w:autoSpaceDN/>
      <w:adjustRightInd/>
      <w:textAlignment w:val="auto"/>
    </w:pPr>
    <w:rPr>
      <w:sz w:val="28"/>
      <w:szCs w:val="28"/>
    </w:rPr>
  </w:style>
  <w:style w:type="character" w:customStyle="1" w:styleId="FooterChar">
    <w:name w:val="Footer Char"/>
    <w:basedOn w:val="DefaultParagraphFont"/>
    <w:uiPriority w:val="99"/>
    <w:semiHidden/>
    <w:rsid w:val="002A36A5"/>
    <w:rPr>
      <w:rFonts w:ascii="Tahoma" w:eastAsia="Times New Roman" w:hAnsi="Tahoma" w:cs="Tahoma"/>
      <w:color w:val="000000"/>
      <w:sz w:val="20"/>
      <w:szCs w:val="20"/>
      <w:lang w:val="en-US"/>
    </w:rPr>
  </w:style>
  <w:style w:type="character" w:customStyle="1" w:styleId="FooterChar1">
    <w:name w:val="Footer Char1"/>
    <w:aliases w:val="FooterQ Char,Footer Char2"/>
    <w:link w:val="Footer"/>
    <w:rsid w:val="002A36A5"/>
    <w:rPr>
      <w:rFonts w:ascii="Tahoma" w:eastAsia="Times New Roman" w:hAnsi="Tahoma" w:cs="Tahoma"/>
      <w:color w:val="000000"/>
      <w:sz w:val="28"/>
      <w:szCs w:val="28"/>
      <w:lang w:val="en-US"/>
    </w:rPr>
  </w:style>
  <w:style w:type="paragraph" w:styleId="Header">
    <w:name w:val="header"/>
    <w:basedOn w:val="Normal"/>
    <w:link w:val="HeaderChar1"/>
    <w:uiPriority w:val="99"/>
    <w:rsid w:val="002A36A5"/>
    <w:pPr>
      <w:tabs>
        <w:tab w:val="center" w:pos="4320"/>
        <w:tab w:val="right" w:pos="8640"/>
      </w:tabs>
      <w:overflowPunct/>
      <w:autoSpaceDE/>
      <w:autoSpaceDN/>
      <w:adjustRightInd/>
      <w:textAlignment w:val="auto"/>
    </w:pPr>
    <w:rPr>
      <w:sz w:val="28"/>
      <w:szCs w:val="28"/>
    </w:rPr>
  </w:style>
  <w:style w:type="character" w:customStyle="1" w:styleId="HeaderChar">
    <w:name w:val="Header Char"/>
    <w:basedOn w:val="DefaultParagraphFont"/>
    <w:uiPriority w:val="99"/>
    <w:semiHidden/>
    <w:rsid w:val="002A36A5"/>
    <w:rPr>
      <w:rFonts w:ascii="Tahoma" w:eastAsia="Times New Roman" w:hAnsi="Tahoma" w:cs="Tahoma"/>
      <w:color w:val="000000"/>
      <w:sz w:val="20"/>
      <w:szCs w:val="20"/>
      <w:lang w:val="en-US"/>
    </w:rPr>
  </w:style>
  <w:style w:type="character" w:customStyle="1" w:styleId="HeaderChar1">
    <w:name w:val="Header Char1"/>
    <w:link w:val="Header"/>
    <w:uiPriority w:val="99"/>
    <w:locked/>
    <w:rsid w:val="002A36A5"/>
    <w:rPr>
      <w:rFonts w:ascii="Tahoma" w:eastAsia="Times New Roman" w:hAnsi="Tahoma" w:cs="Tahoma"/>
      <w:color w:val="000000"/>
      <w:sz w:val="28"/>
      <w:szCs w:val="28"/>
      <w:lang w:val="en-US"/>
    </w:rPr>
  </w:style>
  <w:style w:type="character" w:styleId="FootnoteReference">
    <w:name w:val="footnote reference"/>
    <w:aliases w:val="Footnote,Footnote + Arial,10 pt,Black,ftref,(NECG) Footnote Reference,16 Point,Superscript 6 Point,Body text (2) + Franklin Gothic Heavy1"/>
    <w:semiHidden/>
    <w:rsid w:val="002A36A5"/>
    <w:rPr>
      <w:vertAlign w:val="superscript"/>
    </w:rPr>
  </w:style>
  <w:style w:type="paragraph" w:styleId="FootnoteText">
    <w:name w:val="footnote text"/>
    <w:basedOn w:val="Normal"/>
    <w:link w:val="FootnoteTextChar"/>
    <w:uiPriority w:val="99"/>
    <w:semiHidden/>
    <w:unhideWhenUsed/>
    <w:rsid w:val="002A36A5"/>
  </w:style>
  <w:style w:type="character" w:customStyle="1" w:styleId="FootnoteTextChar">
    <w:name w:val="Footnote Text Char"/>
    <w:basedOn w:val="DefaultParagraphFont"/>
    <w:link w:val="FootnoteText"/>
    <w:uiPriority w:val="99"/>
    <w:semiHidden/>
    <w:rsid w:val="002A36A5"/>
    <w:rPr>
      <w:rFonts w:ascii="Tahoma" w:eastAsia="Times New Roman" w:hAnsi="Tahoma" w:cs="Tahoma"/>
      <w:color w:val="000000"/>
      <w:sz w:val="20"/>
      <w:szCs w:val="20"/>
      <w:lang w:val="en-US"/>
    </w:rPr>
  </w:style>
  <w:style w:type="character" w:customStyle="1" w:styleId="HeaderChar2">
    <w:name w:val="Header Char2"/>
    <w:uiPriority w:val="99"/>
    <w:locked/>
    <w:rsid w:val="00A45FC2"/>
    <w:rPr>
      <w:rFonts w:ascii=".VnTime" w:hAnsi=".VnTime"/>
      <w:sz w:val="28"/>
      <w:szCs w:val="28"/>
      <w:lang w:val="en-US" w:eastAsia="en-US" w:bidi="ar-SA"/>
    </w:rPr>
  </w:style>
  <w:style w:type="paragraph" w:customStyle="1" w:styleId="ListParagraph1">
    <w:name w:val="List Paragraph1"/>
    <w:aliases w:val="Heading 41"/>
    <w:basedOn w:val="Normal"/>
    <w:link w:val="ListParagraphChar"/>
    <w:uiPriority w:val="99"/>
    <w:qFormat/>
    <w:rsid w:val="00A45FC2"/>
    <w:pPr>
      <w:overflowPunct/>
      <w:autoSpaceDE/>
      <w:autoSpaceDN/>
      <w:adjustRightInd/>
      <w:spacing w:after="200" w:line="276" w:lineRule="auto"/>
      <w:ind w:left="720"/>
      <w:contextualSpacing/>
      <w:textAlignment w:val="auto"/>
    </w:pPr>
    <w:rPr>
      <w:rFonts w:ascii="Calibri" w:eastAsia="Calibri" w:hAnsi="Calibri" w:cs="Times New Roman"/>
      <w:color w:val="auto"/>
      <w:sz w:val="22"/>
      <w:szCs w:val="22"/>
    </w:rPr>
  </w:style>
  <w:style w:type="character" w:customStyle="1" w:styleId="ListParagraphChar">
    <w:name w:val="List Paragraph Char"/>
    <w:aliases w:val="Heading 41 Char"/>
    <w:link w:val="ListParagraph1"/>
    <w:uiPriority w:val="99"/>
    <w:rsid w:val="00A45FC2"/>
    <w:rPr>
      <w:rFonts w:ascii="Calibri" w:eastAsia="Calibri" w:hAnsi="Calibri" w:cs="Times New Roman"/>
      <w:lang w:val="en-US"/>
    </w:rPr>
  </w:style>
  <w:style w:type="character" w:customStyle="1" w:styleId="Heading1Char">
    <w:name w:val="Heading 1 Char"/>
    <w:basedOn w:val="DefaultParagraphFont"/>
    <w:uiPriority w:val="9"/>
    <w:rsid w:val="00FE5CE6"/>
    <w:rPr>
      <w:rFonts w:asciiTheme="majorHAnsi" w:eastAsiaTheme="majorEastAsia" w:hAnsiTheme="majorHAnsi" w:cstheme="majorBidi"/>
      <w:color w:val="2E74B5" w:themeColor="accent1" w:themeShade="BF"/>
      <w:sz w:val="32"/>
      <w:szCs w:val="32"/>
      <w:lang w:val="en-US"/>
    </w:rPr>
  </w:style>
  <w:style w:type="character" w:customStyle="1" w:styleId="Heading1Char2">
    <w:name w:val="Heading 1 Char2"/>
    <w:aliases w:val="Heading 1Q Char,dieu1 Char1,Dieu Char,so1 Char,Heading 1 Char Char Char,Heading 31 Char,Heading 311 Char"/>
    <w:link w:val="Heading1"/>
    <w:rsid w:val="00FE5CE6"/>
    <w:rPr>
      <w:rFonts w:ascii=".VnTimeH" w:eastAsia="Times New Roman" w:hAnsi=".VnTimeH" w:cs="Times New Roman"/>
      <w:b/>
      <w:bCs/>
      <w:sz w:val="24"/>
      <w:szCs w:val="20"/>
      <w:lang w:val="en-US"/>
    </w:rPr>
  </w:style>
  <w:style w:type="paragraph" w:styleId="BalloonText">
    <w:name w:val="Balloon Text"/>
    <w:basedOn w:val="Normal"/>
    <w:link w:val="BalloonTextChar"/>
    <w:uiPriority w:val="99"/>
    <w:semiHidden/>
    <w:unhideWhenUsed/>
    <w:rsid w:val="00FE5C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CE6"/>
    <w:rPr>
      <w:rFonts w:ascii="Segoe UI" w:eastAsia="Times New Roman"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PC</dc:creator>
  <cp:keywords/>
  <dc:description/>
  <cp:lastModifiedBy>Administrator PC</cp:lastModifiedBy>
  <cp:revision>5</cp:revision>
  <dcterms:created xsi:type="dcterms:W3CDTF">2015-08-17T02:43:00Z</dcterms:created>
  <dcterms:modified xsi:type="dcterms:W3CDTF">2015-12-30T07:32:00Z</dcterms:modified>
</cp:coreProperties>
</file>