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21F" w:rsidRPr="0045521F" w:rsidRDefault="0045521F" w:rsidP="0045521F">
      <w:pPr>
        <w:spacing w:before="120" w:after="120"/>
        <w:jc w:val="center"/>
        <w:outlineLvl w:val="0"/>
        <w:rPr>
          <w:rFonts w:ascii="Cambria" w:hAnsi="Cambria"/>
          <w:b/>
          <w:bCs/>
          <w:sz w:val="28"/>
          <w:szCs w:val="24"/>
        </w:rPr>
      </w:pPr>
      <w:r w:rsidRPr="0045521F">
        <w:rPr>
          <w:rFonts w:ascii="Cambria" w:hAnsi="Cambria"/>
          <w:b/>
          <w:bCs/>
          <w:sz w:val="28"/>
          <w:szCs w:val="24"/>
        </w:rPr>
        <w:t>NGHIÊN CỨU SỰ THAY ĐỔI NỒNG ĐỘ ProGRP</w:t>
      </w:r>
    </w:p>
    <w:p w:rsidR="0045521F" w:rsidRPr="0045521F" w:rsidRDefault="0045521F" w:rsidP="0045521F">
      <w:pPr>
        <w:spacing w:before="120" w:after="120"/>
        <w:jc w:val="center"/>
        <w:outlineLvl w:val="0"/>
        <w:rPr>
          <w:rFonts w:ascii="Cambria" w:hAnsi="Cambria"/>
          <w:b/>
          <w:bCs/>
          <w:sz w:val="28"/>
          <w:szCs w:val="24"/>
        </w:rPr>
      </w:pPr>
      <w:r w:rsidRPr="0045521F">
        <w:rPr>
          <w:rFonts w:ascii="Cambria" w:hAnsi="Cambria"/>
          <w:b/>
          <w:bCs/>
          <w:sz w:val="28"/>
          <w:szCs w:val="24"/>
        </w:rPr>
        <w:t>TRONG BỆNH UNG THƯ PHỔI NGUYÊN PHÁT</w:t>
      </w:r>
    </w:p>
    <w:p w:rsidR="0045521F" w:rsidRPr="00115D69" w:rsidRDefault="0045521F" w:rsidP="0045521F">
      <w:pPr>
        <w:ind w:firstLine="567"/>
        <w:contextualSpacing/>
        <w:jc w:val="both"/>
        <w:rPr>
          <w:sz w:val="24"/>
          <w:szCs w:val="24"/>
          <w:lang w:val="sv-SE"/>
        </w:rPr>
      </w:pPr>
    </w:p>
    <w:p w:rsidR="0045521F" w:rsidRPr="00115D69" w:rsidRDefault="0045521F" w:rsidP="0045521F">
      <w:pPr>
        <w:ind w:firstLine="567"/>
        <w:contextualSpacing/>
        <w:jc w:val="right"/>
        <w:rPr>
          <w:rFonts w:ascii="Times New Roman" w:hAnsi="Times New Roman" w:cs="Times New Roman"/>
          <w:b/>
          <w:sz w:val="24"/>
          <w:szCs w:val="24"/>
          <w:lang w:val="sv-SE"/>
        </w:rPr>
      </w:pPr>
      <w:r w:rsidRPr="00115D69">
        <w:rPr>
          <w:rFonts w:ascii="Times New Roman" w:hAnsi="Times New Roman" w:cs="Times New Roman"/>
          <w:b/>
          <w:sz w:val="24"/>
          <w:szCs w:val="24"/>
          <w:lang w:val="sv-SE"/>
        </w:rPr>
        <w:t>Phạm Văn Trân*, Lương Cao Đồng*</w:t>
      </w:r>
    </w:p>
    <w:p w:rsidR="0045521F" w:rsidRDefault="0045521F" w:rsidP="0045521F">
      <w:pPr>
        <w:contextualSpacing/>
        <w:jc w:val="both"/>
        <w:rPr>
          <w:rFonts w:ascii="Times New Roman" w:hAnsi="Times New Roman" w:cs="Times New Roman"/>
          <w:b/>
          <w:sz w:val="24"/>
          <w:szCs w:val="24"/>
          <w:lang w:val="sv-SE"/>
        </w:rPr>
      </w:pPr>
    </w:p>
    <w:p w:rsidR="0045521F" w:rsidRPr="00115D69" w:rsidRDefault="0045521F" w:rsidP="0045521F">
      <w:pPr>
        <w:contextualSpacing/>
        <w:jc w:val="both"/>
        <w:rPr>
          <w:rFonts w:ascii="Calibri" w:hAnsi="Calibri" w:cs="Calibri"/>
          <w:b/>
          <w:bCs/>
          <w:iCs/>
          <w:sz w:val="24"/>
          <w:szCs w:val="24"/>
          <w:lang w:val="sv-SE"/>
        </w:rPr>
      </w:pPr>
      <w:r w:rsidRPr="00115D69">
        <w:rPr>
          <w:rFonts w:ascii="Calibri" w:hAnsi="Calibri" w:cs="Calibri"/>
          <w:b/>
          <w:bCs/>
          <w:iCs/>
          <w:sz w:val="24"/>
          <w:szCs w:val="24"/>
          <w:lang w:val="sv-SE"/>
        </w:rPr>
        <w:t>TÓM TẮT</w:t>
      </w:r>
      <w:r w:rsidRPr="00115D69">
        <w:rPr>
          <w:rStyle w:val="FootnoteReference"/>
          <w:rFonts w:ascii="Calibri" w:hAnsi="Calibri" w:cs="Calibri"/>
          <w:b/>
          <w:bCs/>
          <w:iCs/>
          <w:sz w:val="24"/>
          <w:szCs w:val="24"/>
          <w:lang w:val="sv-SE"/>
        </w:rPr>
        <w:footnoteReference w:id="1"/>
      </w:r>
    </w:p>
    <w:p w:rsidR="0045521F" w:rsidRPr="00115D69" w:rsidRDefault="0045521F" w:rsidP="0045521F">
      <w:pPr>
        <w:ind w:firstLine="360"/>
        <w:contextualSpacing/>
        <w:jc w:val="both"/>
        <w:rPr>
          <w:iCs/>
          <w:sz w:val="24"/>
          <w:szCs w:val="24"/>
          <w:lang w:val="sv-SE"/>
        </w:rPr>
      </w:pPr>
      <w:r w:rsidRPr="00115D69">
        <w:rPr>
          <w:b/>
          <w:iCs/>
          <w:sz w:val="24"/>
          <w:szCs w:val="24"/>
          <w:lang w:val="sv-SE"/>
        </w:rPr>
        <w:t>Mục tiêu:</w:t>
      </w:r>
      <w:r w:rsidRPr="00115D69">
        <w:rPr>
          <w:iCs/>
          <w:sz w:val="24"/>
          <w:szCs w:val="24"/>
          <w:lang w:val="sv-SE"/>
        </w:rPr>
        <w:t xml:space="preserve"> Xác định nồng độ pro-gastrin-releasing peptide (ProGRP) trong ung thư phổi (UTP) nguyên phát tế bào nhỏ (SCLC) và tế bào không nhỏ (NSCLC) đồng thời so sánh marker này với các marker khác trong chẩn đoán UTP. </w:t>
      </w:r>
    </w:p>
    <w:p w:rsidR="0045521F" w:rsidRPr="00115D69" w:rsidRDefault="0045521F" w:rsidP="0045521F">
      <w:pPr>
        <w:ind w:firstLine="360"/>
        <w:contextualSpacing/>
        <w:jc w:val="both"/>
        <w:rPr>
          <w:iCs/>
          <w:sz w:val="24"/>
          <w:szCs w:val="24"/>
          <w:lang w:val="sv-SE"/>
        </w:rPr>
      </w:pPr>
      <w:r w:rsidRPr="00115D69">
        <w:rPr>
          <w:b/>
          <w:iCs/>
          <w:sz w:val="24"/>
          <w:szCs w:val="24"/>
          <w:lang w:val="sv-SE"/>
        </w:rPr>
        <w:t>Phương pháp:</w:t>
      </w:r>
      <w:r w:rsidRPr="00115D69">
        <w:rPr>
          <w:iCs/>
          <w:sz w:val="24"/>
          <w:szCs w:val="24"/>
          <w:lang w:val="sv-SE"/>
        </w:rPr>
        <w:t xml:space="preserve"> Định lượng nồng độ ProGRP, neuron-specific enolase (NSE), CYFRA 21-1 và carcinoembryonic antigen (CEA) trên 30 bệnh nhân có bệnh ở phổi lành tính (BPD) làm nhóm chứng và 30 bệnh nhân được chẩn đoán xác định NSCLC và 20 bệnh nhân được chẩn đoán SCLC. </w:t>
      </w:r>
    </w:p>
    <w:p w:rsidR="0045521F" w:rsidRPr="00115D69" w:rsidRDefault="0045521F" w:rsidP="0045521F">
      <w:pPr>
        <w:ind w:firstLine="360"/>
        <w:contextualSpacing/>
        <w:jc w:val="both"/>
        <w:rPr>
          <w:iCs/>
          <w:sz w:val="24"/>
          <w:szCs w:val="24"/>
          <w:lang w:val="sv-SE"/>
        </w:rPr>
      </w:pPr>
      <w:r w:rsidRPr="00115D69">
        <w:rPr>
          <w:b/>
          <w:iCs/>
          <w:sz w:val="24"/>
          <w:szCs w:val="24"/>
          <w:lang w:val="sv-SE"/>
        </w:rPr>
        <w:t>Kết quả</w:t>
      </w:r>
      <w:r w:rsidRPr="00115D69">
        <w:rPr>
          <w:iCs/>
          <w:sz w:val="24"/>
          <w:szCs w:val="24"/>
          <w:lang w:val="sv-SE"/>
        </w:rPr>
        <w:t>: ProGRP có</w:t>
      </w:r>
      <w:r w:rsidRPr="00115D69">
        <w:rPr>
          <w:iCs/>
          <w:sz w:val="24"/>
          <w:szCs w:val="24"/>
          <w:cs/>
          <w:lang w:bidi="he-IL"/>
        </w:rPr>
        <w:t>‎</w:t>
      </w:r>
      <w:r w:rsidRPr="00115D69">
        <w:rPr>
          <w:iCs/>
          <w:sz w:val="24"/>
          <w:szCs w:val="24"/>
          <w:lang w:val="sv-SE" w:bidi="he-IL"/>
        </w:rPr>
        <w:t xml:space="preserve"> </w:t>
      </w:r>
      <w:r w:rsidRPr="00115D69">
        <w:rPr>
          <w:iCs/>
          <w:sz w:val="24"/>
          <w:szCs w:val="24"/>
          <w:lang w:val="sv-SE"/>
        </w:rPr>
        <w:t xml:space="preserve">giá trị hơn so với NSE trong chẩn đoán bệnh SCLC và BPD hoặc NSCLC. Độ nhạy của ProGRP và NSE trong chẩn đoán SCLC lần lượt là 80 và 50% (p=0,001) và trong NSCLC là 13,3 và 6,6% (p=0,001). </w:t>
      </w:r>
    </w:p>
    <w:p w:rsidR="0045521F" w:rsidRPr="00115D69" w:rsidRDefault="0045521F" w:rsidP="0045521F">
      <w:pPr>
        <w:ind w:firstLine="360"/>
        <w:contextualSpacing/>
        <w:jc w:val="both"/>
        <w:rPr>
          <w:iCs/>
          <w:sz w:val="24"/>
          <w:szCs w:val="24"/>
          <w:lang w:val="sv-SE"/>
        </w:rPr>
      </w:pPr>
      <w:r w:rsidRPr="00115D69">
        <w:rPr>
          <w:b/>
          <w:iCs/>
          <w:sz w:val="24"/>
          <w:szCs w:val="24"/>
          <w:lang w:val="sv-SE"/>
        </w:rPr>
        <w:t>Kết luận:</w:t>
      </w:r>
      <w:r w:rsidRPr="00115D69">
        <w:rPr>
          <w:iCs/>
          <w:sz w:val="24"/>
          <w:szCs w:val="24"/>
          <w:lang w:val="sv-SE"/>
        </w:rPr>
        <w:t xml:space="preserve"> ProGRP là marker có giá trị hơn NSE trong chẩn đoán SCLC.</w:t>
      </w:r>
    </w:p>
    <w:p w:rsidR="0045521F" w:rsidRPr="00115D69" w:rsidRDefault="0045521F" w:rsidP="0045521F">
      <w:pPr>
        <w:ind w:firstLine="360"/>
        <w:contextualSpacing/>
        <w:jc w:val="both"/>
        <w:rPr>
          <w:sz w:val="24"/>
          <w:szCs w:val="24"/>
          <w:lang w:val="sv-SE"/>
        </w:rPr>
      </w:pPr>
      <w:r w:rsidRPr="00115D69">
        <w:rPr>
          <w:b/>
          <w:i/>
          <w:iCs/>
          <w:sz w:val="24"/>
          <w:szCs w:val="24"/>
          <w:lang w:val="sv-SE"/>
        </w:rPr>
        <w:t>Từ khóa:</w:t>
      </w:r>
      <w:r w:rsidRPr="00115D69">
        <w:rPr>
          <w:b/>
          <w:iCs/>
          <w:sz w:val="24"/>
          <w:szCs w:val="24"/>
          <w:lang w:val="sv-SE"/>
        </w:rPr>
        <w:t xml:space="preserve"> </w:t>
      </w:r>
      <w:r w:rsidRPr="00115D69">
        <w:rPr>
          <w:iCs/>
          <w:sz w:val="24"/>
          <w:szCs w:val="24"/>
          <w:lang w:val="sv-SE"/>
        </w:rPr>
        <w:t>Ung thư phổi, proGRP,</w:t>
      </w:r>
      <w:r w:rsidRPr="00115D69">
        <w:rPr>
          <w:sz w:val="24"/>
          <w:szCs w:val="24"/>
          <w:lang w:val="sv-SE"/>
        </w:rPr>
        <w:t xml:space="preserve"> NSE, CYFRA 21-1, CEA.</w:t>
      </w:r>
    </w:p>
    <w:p w:rsidR="0045521F" w:rsidRPr="00115D69" w:rsidRDefault="0045521F" w:rsidP="0045521F">
      <w:pPr>
        <w:contextualSpacing/>
        <w:jc w:val="both"/>
        <w:rPr>
          <w:iCs/>
          <w:sz w:val="24"/>
          <w:szCs w:val="24"/>
          <w:lang w:val="sv-SE"/>
        </w:rPr>
      </w:pPr>
    </w:p>
    <w:p w:rsidR="0045521F" w:rsidRPr="00115D69" w:rsidRDefault="0045521F" w:rsidP="0045521F">
      <w:pPr>
        <w:contextualSpacing/>
        <w:jc w:val="both"/>
        <w:rPr>
          <w:rFonts w:ascii="Calibri" w:hAnsi="Calibri" w:cs="Calibri"/>
          <w:b/>
          <w:bCs/>
          <w:sz w:val="24"/>
          <w:szCs w:val="24"/>
        </w:rPr>
      </w:pPr>
      <w:r w:rsidRPr="00115D69">
        <w:rPr>
          <w:rFonts w:ascii="Calibri" w:hAnsi="Calibri" w:cs="Calibri"/>
          <w:b/>
          <w:bCs/>
          <w:sz w:val="24"/>
          <w:szCs w:val="24"/>
        </w:rPr>
        <w:t>SUMMARY</w:t>
      </w:r>
    </w:p>
    <w:p w:rsidR="0045521F" w:rsidRPr="00115D69" w:rsidRDefault="0045521F" w:rsidP="0045521F">
      <w:pPr>
        <w:contextualSpacing/>
        <w:jc w:val="center"/>
        <w:rPr>
          <w:b/>
          <w:bCs/>
          <w:sz w:val="24"/>
          <w:szCs w:val="24"/>
        </w:rPr>
      </w:pPr>
      <w:r w:rsidRPr="00115D69">
        <w:rPr>
          <w:b/>
          <w:bCs/>
          <w:sz w:val="24"/>
          <w:szCs w:val="24"/>
        </w:rPr>
        <w:t>RESEARCH ON THE CHANGE OF ProGRP CONCENTRATION IN PRIMARY</w:t>
      </w:r>
    </w:p>
    <w:p w:rsidR="0045521F" w:rsidRPr="00115D69" w:rsidRDefault="0045521F" w:rsidP="0045521F">
      <w:pPr>
        <w:contextualSpacing/>
        <w:jc w:val="center"/>
        <w:rPr>
          <w:b/>
          <w:bCs/>
          <w:sz w:val="24"/>
          <w:szCs w:val="24"/>
        </w:rPr>
      </w:pPr>
      <w:r w:rsidRPr="00115D69">
        <w:rPr>
          <w:b/>
          <w:bCs/>
          <w:sz w:val="24"/>
          <w:szCs w:val="24"/>
        </w:rPr>
        <w:t>LUNG CANCER PATIENTS</w:t>
      </w:r>
    </w:p>
    <w:p w:rsidR="0045521F" w:rsidRPr="00115D69" w:rsidRDefault="0045521F" w:rsidP="0045521F">
      <w:pPr>
        <w:ind w:firstLine="360"/>
        <w:contextualSpacing/>
        <w:jc w:val="both"/>
        <w:rPr>
          <w:iCs/>
          <w:sz w:val="24"/>
          <w:szCs w:val="24"/>
        </w:rPr>
      </w:pPr>
      <w:r w:rsidRPr="00115D69">
        <w:rPr>
          <w:b/>
          <w:sz w:val="24"/>
          <w:szCs w:val="24"/>
        </w:rPr>
        <w:t>Aims:</w:t>
      </w:r>
      <w:r w:rsidRPr="00115D69">
        <w:rPr>
          <w:sz w:val="24"/>
          <w:szCs w:val="24"/>
        </w:rPr>
        <w:t xml:space="preserve"> To investigate the diagnostic và prognostic significance of pro-gastrin-releasing peptide (ProGRP) in </w:t>
      </w:r>
      <w:r w:rsidRPr="00115D69">
        <w:rPr>
          <w:iCs/>
          <w:sz w:val="24"/>
          <w:szCs w:val="24"/>
        </w:rPr>
        <w:t xml:space="preserve">non-small cell (NSCLC) và small cell lung cancer (SCLC) và compare this marker with other known serum markers in lung cancer. </w:t>
      </w:r>
    </w:p>
    <w:p w:rsidR="0045521F" w:rsidRPr="00115D69" w:rsidRDefault="0045521F" w:rsidP="0045521F">
      <w:pPr>
        <w:ind w:firstLine="360"/>
        <w:contextualSpacing/>
        <w:jc w:val="both"/>
        <w:rPr>
          <w:iCs/>
          <w:sz w:val="24"/>
          <w:szCs w:val="24"/>
        </w:rPr>
      </w:pPr>
      <w:r w:rsidRPr="00115D69">
        <w:rPr>
          <w:b/>
          <w:iCs/>
          <w:sz w:val="24"/>
          <w:szCs w:val="24"/>
        </w:rPr>
        <w:t>Patients and Methods:</w:t>
      </w:r>
      <w:r w:rsidRPr="00115D69">
        <w:rPr>
          <w:iCs/>
          <w:sz w:val="24"/>
          <w:szCs w:val="24"/>
        </w:rPr>
        <w:t xml:space="preserve"> Serum levels of ProGRP, neuron-specific enolase (NSE), CYFRA 21-1 và carcinoembryonic antigen (CEA) were measured in 30 patients  with benign pulmonary disease (BPD), 30 with advanced NSCLC và 20 with SCLC. </w:t>
      </w:r>
    </w:p>
    <w:p w:rsidR="0045521F" w:rsidRPr="00115D69" w:rsidRDefault="0045521F" w:rsidP="0045521F">
      <w:pPr>
        <w:ind w:firstLine="360"/>
        <w:contextualSpacing/>
        <w:jc w:val="both"/>
        <w:rPr>
          <w:iCs/>
          <w:sz w:val="24"/>
          <w:szCs w:val="24"/>
        </w:rPr>
      </w:pPr>
      <w:r w:rsidRPr="00115D69">
        <w:rPr>
          <w:b/>
          <w:iCs/>
          <w:sz w:val="24"/>
          <w:szCs w:val="24"/>
        </w:rPr>
        <w:t>Results:</w:t>
      </w:r>
      <w:r w:rsidRPr="00115D69">
        <w:rPr>
          <w:iCs/>
          <w:sz w:val="24"/>
          <w:szCs w:val="24"/>
        </w:rPr>
        <w:t xml:space="preserve"> The ProGRP assay showed a better clinical performance than that of NSE in discriminating between SCLC and BPD or NSCLC. ProGRP and NSE sensitivity are 80 and 50% in SCLC respectively (p=0.001) and 13,3 % and 6,6% in NSCLC, respectively (p=0.001). </w:t>
      </w:r>
    </w:p>
    <w:p w:rsidR="0045521F" w:rsidRPr="00115D69" w:rsidRDefault="0045521F" w:rsidP="0045521F">
      <w:pPr>
        <w:ind w:firstLine="360"/>
        <w:contextualSpacing/>
        <w:jc w:val="both"/>
        <w:rPr>
          <w:iCs/>
          <w:sz w:val="24"/>
          <w:szCs w:val="24"/>
        </w:rPr>
      </w:pPr>
      <w:r w:rsidRPr="00115D69">
        <w:rPr>
          <w:b/>
          <w:iCs/>
          <w:sz w:val="24"/>
          <w:szCs w:val="24"/>
        </w:rPr>
        <w:t>Conclusion:</w:t>
      </w:r>
      <w:r w:rsidRPr="00115D69">
        <w:rPr>
          <w:iCs/>
          <w:sz w:val="24"/>
          <w:szCs w:val="24"/>
        </w:rPr>
        <w:t xml:space="preserve"> ProGRP is a useful marker in SCLC, with diagnostic performance better than that of NSE.</w:t>
      </w:r>
    </w:p>
    <w:p w:rsidR="0045521F" w:rsidRPr="00115D69" w:rsidRDefault="0045521F" w:rsidP="0045521F">
      <w:pPr>
        <w:ind w:firstLine="360"/>
        <w:contextualSpacing/>
        <w:jc w:val="both"/>
        <w:rPr>
          <w:sz w:val="24"/>
          <w:szCs w:val="24"/>
        </w:rPr>
      </w:pPr>
      <w:r w:rsidRPr="00115D69">
        <w:rPr>
          <w:b/>
          <w:i/>
          <w:iCs/>
          <w:sz w:val="24"/>
          <w:szCs w:val="24"/>
        </w:rPr>
        <w:t>Keywords:</w:t>
      </w:r>
      <w:r w:rsidRPr="00115D69">
        <w:rPr>
          <w:iCs/>
          <w:sz w:val="24"/>
          <w:szCs w:val="24"/>
        </w:rPr>
        <w:t xml:space="preserve"> </w:t>
      </w:r>
      <w:r w:rsidRPr="00115D69">
        <w:rPr>
          <w:sz w:val="24"/>
          <w:szCs w:val="24"/>
        </w:rPr>
        <w:t>Lung cancer, ProGRP, NSE, CYFRA 21-1, CEA.</w:t>
      </w:r>
    </w:p>
    <w:p w:rsidR="002A36A5" w:rsidRPr="0045521F" w:rsidRDefault="002A36A5" w:rsidP="0045521F"/>
    <w:sectPr w:rsidR="002A36A5" w:rsidRPr="0045521F">
      <w:headerReference w:type="even" r:id="rId6"/>
      <w:headerReference w:type="default" r:id="rId7"/>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935" w:rsidRDefault="00010935" w:rsidP="002A36A5">
      <w:r>
        <w:separator/>
      </w:r>
    </w:p>
  </w:endnote>
  <w:endnote w:type="continuationSeparator" w:id="0">
    <w:p w:rsidR="00010935" w:rsidRDefault="00010935" w:rsidP="002A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5" w:rsidRPr="00DF5709" w:rsidRDefault="002A36A5">
    <w:pPr>
      <w:pStyle w:val="Footer"/>
      <w:rPr>
        <w:sz w:val="18"/>
        <w:szCs w:val="18"/>
      </w:rPr>
    </w:pPr>
    <w:r w:rsidRPr="00DF5709">
      <w:rPr>
        <w:sz w:val="18"/>
        <w:szCs w:val="18"/>
      </w:rPr>
      <w:fldChar w:fldCharType="begin"/>
    </w:r>
    <w:r w:rsidRPr="00DF5709">
      <w:rPr>
        <w:sz w:val="18"/>
        <w:szCs w:val="18"/>
      </w:rPr>
      <w:instrText xml:space="preserve"> PAGE   \* MERGEFORMAT </w:instrText>
    </w:r>
    <w:r w:rsidRPr="00DF5709">
      <w:rPr>
        <w:sz w:val="18"/>
        <w:szCs w:val="18"/>
      </w:rPr>
      <w:fldChar w:fldCharType="separate"/>
    </w:r>
    <w:r>
      <w:rPr>
        <w:noProof/>
        <w:sz w:val="18"/>
        <w:szCs w:val="18"/>
      </w:rPr>
      <w:t>2</w:t>
    </w:r>
    <w:r w:rsidRPr="00DF5709">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5" w:rsidRPr="00DF5709" w:rsidRDefault="002A36A5">
    <w:pPr>
      <w:pStyle w:val="Footer"/>
      <w:jc w:val="right"/>
      <w:rPr>
        <w:sz w:val="18"/>
        <w:szCs w:val="18"/>
      </w:rPr>
    </w:pPr>
    <w:r w:rsidRPr="00DF5709">
      <w:rPr>
        <w:sz w:val="18"/>
        <w:szCs w:val="18"/>
      </w:rPr>
      <w:fldChar w:fldCharType="begin"/>
    </w:r>
    <w:r w:rsidRPr="00DF5709">
      <w:rPr>
        <w:sz w:val="18"/>
        <w:szCs w:val="18"/>
      </w:rPr>
      <w:instrText xml:space="preserve"> PAGE   \* MERGEFORMAT </w:instrText>
    </w:r>
    <w:r w:rsidRPr="00DF5709">
      <w:rPr>
        <w:sz w:val="18"/>
        <w:szCs w:val="18"/>
      </w:rPr>
      <w:fldChar w:fldCharType="separate"/>
    </w:r>
    <w:r w:rsidR="0045521F">
      <w:rPr>
        <w:noProof/>
        <w:sz w:val="18"/>
        <w:szCs w:val="18"/>
      </w:rPr>
      <w:t>1</w:t>
    </w:r>
    <w:r w:rsidRPr="00DF5709">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935" w:rsidRDefault="00010935" w:rsidP="002A36A5">
      <w:r>
        <w:separator/>
      </w:r>
    </w:p>
  </w:footnote>
  <w:footnote w:type="continuationSeparator" w:id="0">
    <w:p w:rsidR="00010935" w:rsidRDefault="00010935" w:rsidP="002A36A5">
      <w:r>
        <w:continuationSeparator/>
      </w:r>
    </w:p>
  </w:footnote>
  <w:footnote w:id="1">
    <w:p w:rsidR="0045521F" w:rsidRDefault="0045521F" w:rsidP="0045521F">
      <w:pPr>
        <w:contextualSpacing/>
        <w:jc w:val="both"/>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5" w:rsidRDefault="002A36A5" w:rsidP="004242B9">
    <w:pPr>
      <w:pStyle w:val="Header"/>
      <w:pBdr>
        <w:bottom w:val="single" w:sz="4" w:space="0" w:color="auto"/>
      </w:pBdr>
      <w:tabs>
        <w:tab w:val="clear" w:pos="4320"/>
        <w:tab w:val="clear" w:pos="8640"/>
        <w:tab w:val="left" w:pos="0"/>
      </w:tabs>
      <w:jc w:val="center"/>
    </w:pPr>
    <w:r>
      <w:rPr>
        <w:rFonts w:ascii=".VnArialH" w:hAnsi=".VnArialH"/>
        <w:b/>
        <w:sz w:val="16"/>
        <w:szCs w:val="16"/>
      </w:rPr>
      <w:t>Y häc viÖt nam th¸ng 7 - sè 1/2015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5" w:rsidRDefault="002A36A5" w:rsidP="004242B9">
    <w:pPr>
      <w:pStyle w:val="Header"/>
      <w:pBdr>
        <w:bottom w:val="single" w:sz="4" w:space="0" w:color="auto"/>
      </w:pBdr>
      <w:tabs>
        <w:tab w:val="clear" w:pos="4320"/>
        <w:tab w:val="clear" w:pos="8640"/>
        <w:tab w:val="left" w:pos="0"/>
      </w:tabs>
      <w:jc w:val="center"/>
    </w:pPr>
    <w:r>
      <w:rPr>
        <w:rFonts w:ascii=".VnArialH" w:hAnsi=".VnArialH"/>
        <w:b/>
        <w:sz w:val="16"/>
        <w:szCs w:val="16"/>
      </w:rPr>
      <w:t xml:space="preserve">Y häc viÖt nam th¸ng </w:t>
    </w:r>
    <w:r w:rsidR="002916C0">
      <w:rPr>
        <w:rFonts w:ascii=".VnArialH" w:hAnsi=".VnArialH"/>
        <w:b/>
        <w:sz w:val="16"/>
        <w:szCs w:val="16"/>
      </w:rPr>
      <w:t>10</w:t>
    </w:r>
    <w:r>
      <w:rPr>
        <w:rFonts w:ascii=".VnArialH" w:hAnsi=".VnArialH"/>
        <w:b/>
        <w:sz w:val="16"/>
        <w:szCs w:val="16"/>
      </w:rPr>
      <w:t xml:space="preserve"> - sè </w:t>
    </w:r>
    <w:r w:rsidR="0086606E">
      <w:rPr>
        <w:rFonts w:ascii=".VnArialH" w:hAnsi=".VnArialH"/>
        <w:b/>
        <w:sz w:val="16"/>
        <w:szCs w:val="16"/>
      </w:rPr>
      <w:t>2</w:t>
    </w:r>
    <w:r>
      <w:rPr>
        <w:rFonts w:ascii=".VnArialH" w:hAnsi=".VnArialH"/>
        <w:b/>
        <w:sz w:val="16"/>
        <w:szCs w:val="16"/>
      </w:rPr>
      <w:t>/2015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E1"/>
    <w:rsid w:val="00010935"/>
    <w:rsid w:val="002916C0"/>
    <w:rsid w:val="002A36A5"/>
    <w:rsid w:val="0045521F"/>
    <w:rsid w:val="004B11E1"/>
    <w:rsid w:val="006406DF"/>
    <w:rsid w:val="008256DB"/>
    <w:rsid w:val="00853CFE"/>
    <w:rsid w:val="0086606E"/>
    <w:rsid w:val="009864CB"/>
    <w:rsid w:val="00A45FC2"/>
    <w:rsid w:val="00B802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01D02-A54D-4668-B0FD-95940390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A5"/>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1"/>
    <w:uiPriority w:val="99"/>
    <w:rsid w:val="002A36A5"/>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2A36A5"/>
    <w:rPr>
      <w:rFonts w:ascii="Tahoma" w:eastAsia="Times New Roman" w:hAnsi="Tahoma" w:cs="Tahoma"/>
      <w:color w:val="000000"/>
      <w:sz w:val="20"/>
      <w:szCs w:val="20"/>
      <w:lang w:val="en-US"/>
    </w:rPr>
  </w:style>
  <w:style w:type="character" w:customStyle="1" w:styleId="FooterChar1">
    <w:name w:val="Footer Char1"/>
    <w:aliases w:val="FooterQ Char,Footer Char2"/>
    <w:link w:val="Footer"/>
    <w:rsid w:val="002A36A5"/>
    <w:rPr>
      <w:rFonts w:ascii="Tahoma" w:eastAsia="Times New Roman" w:hAnsi="Tahoma" w:cs="Tahoma"/>
      <w:color w:val="000000"/>
      <w:sz w:val="28"/>
      <w:szCs w:val="28"/>
      <w:lang w:val="en-US"/>
    </w:rPr>
  </w:style>
  <w:style w:type="paragraph" w:styleId="Header">
    <w:name w:val="header"/>
    <w:basedOn w:val="Normal"/>
    <w:link w:val="HeaderChar1"/>
    <w:uiPriority w:val="99"/>
    <w:rsid w:val="002A36A5"/>
    <w:pPr>
      <w:tabs>
        <w:tab w:val="center" w:pos="4320"/>
        <w:tab w:val="right" w:pos="8640"/>
      </w:tabs>
      <w:overflowPunct/>
      <w:autoSpaceDE/>
      <w:autoSpaceDN/>
      <w:adjustRightInd/>
      <w:textAlignment w:val="auto"/>
    </w:pPr>
    <w:rPr>
      <w:sz w:val="28"/>
      <w:szCs w:val="28"/>
    </w:rPr>
  </w:style>
  <w:style w:type="character" w:customStyle="1" w:styleId="HeaderChar">
    <w:name w:val="Header Char"/>
    <w:basedOn w:val="DefaultParagraphFont"/>
    <w:uiPriority w:val="99"/>
    <w:semiHidden/>
    <w:rsid w:val="002A36A5"/>
    <w:rPr>
      <w:rFonts w:ascii="Tahoma" w:eastAsia="Times New Roman" w:hAnsi="Tahoma" w:cs="Tahoma"/>
      <w:color w:val="000000"/>
      <w:sz w:val="20"/>
      <w:szCs w:val="20"/>
      <w:lang w:val="en-US"/>
    </w:rPr>
  </w:style>
  <w:style w:type="character" w:customStyle="1" w:styleId="HeaderChar1">
    <w:name w:val="Header Char1"/>
    <w:link w:val="Header"/>
    <w:uiPriority w:val="99"/>
    <w:locked/>
    <w:rsid w:val="002A36A5"/>
    <w:rPr>
      <w:rFonts w:ascii="Tahoma" w:eastAsia="Times New Roman" w:hAnsi="Tahoma" w:cs="Tahoma"/>
      <w:color w:val="000000"/>
      <w:sz w:val="28"/>
      <w:szCs w:val="28"/>
      <w:lang w:val="en-US"/>
    </w:rPr>
  </w:style>
  <w:style w:type="character" w:styleId="FootnoteReference">
    <w:name w:val="footnote reference"/>
    <w:aliases w:val="Footnote,Footnote + Arial,10 pt,Black,ftref,(NECG) Footnote Reference,16 Point,Superscript 6 Point,Body text (2) + Franklin Gothic Heavy1"/>
    <w:semiHidden/>
    <w:rsid w:val="002A36A5"/>
    <w:rPr>
      <w:vertAlign w:val="superscript"/>
    </w:rPr>
  </w:style>
  <w:style w:type="paragraph" w:styleId="FootnoteText">
    <w:name w:val="footnote text"/>
    <w:aliases w:val="footnote text,single space,fn,fn Char Char Char"/>
    <w:basedOn w:val="Normal"/>
    <w:link w:val="FootnoteTextChar"/>
    <w:uiPriority w:val="99"/>
    <w:semiHidden/>
    <w:unhideWhenUsed/>
    <w:rsid w:val="002A36A5"/>
  </w:style>
  <w:style w:type="character" w:customStyle="1" w:styleId="FootnoteTextChar">
    <w:name w:val="Footnote Text Char"/>
    <w:aliases w:val="footnote text Char,single space Char,fn Char,fn Char Char Char Char1"/>
    <w:basedOn w:val="DefaultParagraphFont"/>
    <w:link w:val="FootnoteText"/>
    <w:uiPriority w:val="99"/>
    <w:semiHidden/>
    <w:rsid w:val="002A36A5"/>
    <w:rPr>
      <w:rFonts w:ascii="Tahoma" w:eastAsia="Times New Roman" w:hAnsi="Tahoma" w:cs="Tahoma"/>
      <w:color w:val="000000"/>
      <w:sz w:val="20"/>
      <w:szCs w:val="20"/>
      <w:lang w:val="en-US"/>
    </w:rPr>
  </w:style>
  <w:style w:type="character" w:customStyle="1" w:styleId="HeaderChar2">
    <w:name w:val="Header Char2"/>
    <w:uiPriority w:val="99"/>
    <w:locked/>
    <w:rsid w:val="00A45FC2"/>
    <w:rPr>
      <w:rFonts w:ascii=".VnTime" w:hAnsi=".VnTime"/>
      <w:sz w:val="28"/>
      <w:szCs w:val="28"/>
      <w:lang w:val="en-US" w:eastAsia="en-US" w:bidi="ar-SA"/>
    </w:rPr>
  </w:style>
  <w:style w:type="paragraph" w:customStyle="1" w:styleId="ListParagraph1">
    <w:name w:val="List Paragraph1"/>
    <w:aliases w:val="Heading 41"/>
    <w:basedOn w:val="Normal"/>
    <w:link w:val="ListParagraphChar"/>
    <w:uiPriority w:val="99"/>
    <w:qFormat/>
    <w:rsid w:val="00A45FC2"/>
    <w:pPr>
      <w:overflowPunct/>
      <w:autoSpaceDE/>
      <w:autoSpaceDN/>
      <w:adjustRightInd/>
      <w:spacing w:after="200" w:line="276" w:lineRule="auto"/>
      <w:ind w:left="720"/>
      <w:contextualSpacing/>
      <w:textAlignment w:val="auto"/>
    </w:pPr>
    <w:rPr>
      <w:rFonts w:ascii="Calibri" w:eastAsia="Calibri" w:hAnsi="Calibri" w:cs="Times New Roman"/>
      <w:color w:val="auto"/>
      <w:sz w:val="22"/>
      <w:szCs w:val="22"/>
    </w:rPr>
  </w:style>
  <w:style w:type="character" w:customStyle="1" w:styleId="ListParagraphChar">
    <w:name w:val="List Paragraph Char"/>
    <w:aliases w:val="Heading 41 Char"/>
    <w:link w:val="ListParagraph1"/>
    <w:uiPriority w:val="99"/>
    <w:rsid w:val="00A45FC2"/>
    <w:rPr>
      <w:rFonts w:ascii="Calibri" w:eastAsia="Calibri" w:hAnsi="Calibri" w:cs="Times New Roman"/>
      <w:lang w:val="en-US"/>
    </w:rPr>
  </w:style>
  <w:style w:type="character" w:customStyle="1" w:styleId="hps">
    <w:name w:val="hps"/>
    <w:basedOn w:val="DefaultParagraphFont"/>
    <w:rsid w:val="0086606E"/>
  </w:style>
  <w:style w:type="character" w:customStyle="1" w:styleId="FootnoteTextChar2">
    <w:name w:val="Footnote Text Char2"/>
    <w:aliases w:val="footnote text Char1,single space Char1,fn Char1,fn Char Char Char Char"/>
    <w:uiPriority w:val="99"/>
    <w:semiHidden/>
    <w:locked/>
    <w:rsid w:val="0086606E"/>
    <w:rPr>
      <w:lang w:val="en-US" w:eastAsia="en-US" w:bidi="ar-SA"/>
    </w:rPr>
  </w:style>
  <w:style w:type="character" w:customStyle="1" w:styleId="longtext">
    <w:name w:val="long_text"/>
    <w:basedOn w:val="DefaultParagraphFont"/>
    <w:rsid w:val="0086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dcterms:created xsi:type="dcterms:W3CDTF">2015-08-17T02:43:00Z</dcterms:created>
  <dcterms:modified xsi:type="dcterms:W3CDTF">2015-12-30T08:39:00Z</dcterms:modified>
</cp:coreProperties>
</file>