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A8" w:rsidRPr="00CB1DA8" w:rsidRDefault="00CB1DA8" w:rsidP="00CB1DA8">
      <w:pPr>
        <w:contextualSpacing/>
        <w:jc w:val="center"/>
        <w:rPr>
          <w:rFonts w:ascii="Cambria" w:hAnsi="Cambria"/>
          <w:b/>
          <w:sz w:val="28"/>
          <w:szCs w:val="24"/>
        </w:rPr>
      </w:pPr>
      <w:r w:rsidRPr="00CB1DA8">
        <w:rPr>
          <w:rFonts w:ascii="Cambria" w:hAnsi="Cambria"/>
          <w:b/>
          <w:sz w:val="28"/>
          <w:szCs w:val="24"/>
        </w:rPr>
        <w:t xml:space="preserve">ĐẶC ĐIỂM LÂM SÀNG VÀ CHẨN ĐOÁN HÌNH ẢNH </w:t>
      </w:r>
    </w:p>
    <w:p w:rsidR="00CB1DA8" w:rsidRPr="00CB1DA8" w:rsidRDefault="00CB1DA8" w:rsidP="00CB1DA8">
      <w:pPr>
        <w:contextualSpacing/>
        <w:jc w:val="center"/>
        <w:rPr>
          <w:rFonts w:ascii="Cambria" w:hAnsi="Cambria"/>
          <w:b/>
          <w:sz w:val="28"/>
          <w:szCs w:val="24"/>
        </w:rPr>
      </w:pPr>
      <w:r w:rsidRPr="00CB1DA8">
        <w:rPr>
          <w:rFonts w:ascii="Cambria" w:hAnsi="Cambria"/>
          <w:b/>
          <w:sz w:val="28"/>
          <w:szCs w:val="24"/>
        </w:rPr>
        <w:t>CỦA TỔN THƯƠNG DÂY CHẰNG CHÉO TRƯỚC VÀ CHÉO SAU KHỚP GỐI</w:t>
      </w:r>
    </w:p>
    <w:p w:rsidR="00CB1DA8" w:rsidRPr="00115D69" w:rsidRDefault="00CB1DA8" w:rsidP="00CB1DA8">
      <w:pPr>
        <w:contextualSpacing/>
        <w:jc w:val="both"/>
        <w:rPr>
          <w:b/>
          <w:sz w:val="24"/>
          <w:szCs w:val="24"/>
        </w:rPr>
      </w:pPr>
    </w:p>
    <w:p w:rsidR="00CB1DA8" w:rsidRPr="00115D69" w:rsidRDefault="00CB1DA8" w:rsidP="00CB1DA8">
      <w:pPr>
        <w:contextualSpacing/>
        <w:jc w:val="right"/>
        <w:rPr>
          <w:rFonts w:ascii="Times New Roman" w:hAnsi="Times New Roman" w:cs="Times New Roman"/>
          <w:b/>
          <w:sz w:val="24"/>
          <w:szCs w:val="24"/>
        </w:rPr>
      </w:pPr>
      <w:r w:rsidRPr="00115D69">
        <w:rPr>
          <w:rFonts w:ascii="Times New Roman" w:hAnsi="Times New Roman" w:cs="Times New Roman"/>
          <w:b/>
          <w:sz w:val="24"/>
          <w:szCs w:val="24"/>
        </w:rPr>
        <w:t>Nguyễn Mạnh Khánh*, Nguyễn Hoàng Quân*</w:t>
      </w:r>
    </w:p>
    <w:p w:rsidR="00CB1DA8" w:rsidRDefault="00CB1DA8" w:rsidP="00CB1DA8">
      <w:pPr>
        <w:contextualSpacing/>
        <w:jc w:val="both"/>
        <w:rPr>
          <w:b/>
          <w:sz w:val="24"/>
          <w:szCs w:val="24"/>
        </w:rPr>
      </w:pPr>
    </w:p>
    <w:p w:rsidR="00CB1DA8" w:rsidRPr="00115D69" w:rsidRDefault="00CB1DA8" w:rsidP="00CB1DA8">
      <w:pPr>
        <w:contextualSpacing/>
        <w:jc w:val="both"/>
        <w:rPr>
          <w:rFonts w:ascii="Calibri" w:hAnsi="Calibri" w:cs="Calibri"/>
          <w:b/>
          <w:sz w:val="24"/>
          <w:szCs w:val="24"/>
        </w:rPr>
      </w:pPr>
      <w:r w:rsidRPr="00115D69">
        <w:rPr>
          <w:rFonts w:ascii="Calibri" w:hAnsi="Calibri" w:cs="Calibri"/>
          <w:b/>
          <w:sz w:val="24"/>
          <w:szCs w:val="24"/>
        </w:rPr>
        <w:t>TÓM TẮT</w:t>
      </w:r>
      <w:r w:rsidRPr="00115D69">
        <w:rPr>
          <w:rStyle w:val="FootnoteReference"/>
          <w:rFonts w:ascii="Calibri" w:hAnsi="Calibri" w:cs="Calibri"/>
          <w:b/>
          <w:sz w:val="24"/>
          <w:szCs w:val="24"/>
        </w:rPr>
        <w:footnoteReference w:id="1"/>
      </w:r>
    </w:p>
    <w:p w:rsidR="00CB1DA8" w:rsidRPr="00115D69" w:rsidRDefault="00CB1DA8" w:rsidP="00CB1DA8">
      <w:pPr>
        <w:ind w:firstLine="360"/>
        <w:contextualSpacing/>
        <w:jc w:val="both"/>
        <w:rPr>
          <w:spacing w:val="-4"/>
          <w:sz w:val="24"/>
          <w:szCs w:val="24"/>
        </w:rPr>
      </w:pPr>
      <w:r w:rsidRPr="00115D69">
        <w:rPr>
          <w:b/>
          <w:spacing w:val="-4"/>
          <w:sz w:val="24"/>
          <w:szCs w:val="24"/>
        </w:rPr>
        <w:t>Mục tiêu</w:t>
      </w:r>
      <w:r w:rsidRPr="00115D69">
        <w:rPr>
          <w:spacing w:val="-4"/>
          <w:sz w:val="24"/>
          <w:szCs w:val="24"/>
        </w:rPr>
        <w:t xml:space="preserve">: </w:t>
      </w:r>
      <w:r w:rsidRPr="00115D69">
        <w:rPr>
          <w:spacing w:val="-4"/>
          <w:sz w:val="24"/>
          <w:szCs w:val="24"/>
          <w:lang w:val="fr-FR"/>
        </w:rPr>
        <w:t xml:space="preserve">Khảo sát các đặc điểm lâm sàng và chẩn đoán hình ảnh của tổn thương đồng thời hai dây chằng chéo trước </w:t>
      </w:r>
      <w:r w:rsidRPr="00115D69">
        <w:rPr>
          <w:spacing w:val="-4"/>
          <w:sz w:val="24"/>
          <w:szCs w:val="24"/>
        </w:rPr>
        <w:t>(DCCT)</w:t>
      </w:r>
      <w:r w:rsidRPr="00115D69">
        <w:rPr>
          <w:spacing w:val="-4"/>
          <w:sz w:val="24"/>
          <w:szCs w:val="24"/>
          <w:lang w:val="fr-FR"/>
        </w:rPr>
        <w:t xml:space="preserve"> và chéo sau </w:t>
      </w:r>
      <w:r w:rsidRPr="00115D69">
        <w:rPr>
          <w:spacing w:val="-4"/>
          <w:sz w:val="24"/>
          <w:szCs w:val="24"/>
        </w:rPr>
        <w:t>(DCCS)</w:t>
      </w:r>
      <w:r w:rsidRPr="00115D69">
        <w:rPr>
          <w:spacing w:val="-4"/>
          <w:sz w:val="24"/>
          <w:szCs w:val="24"/>
          <w:lang w:val="fr-FR"/>
        </w:rPr>
        <w:t xml:space="preserve"> khớp gối</w:t>
      </w:r>
      <w:r w:rsidRPr="00115D69">
        <w:rPr>
          <w:spacing w:val="-4"/>
          <w:sz w:val="24"/>
          <w:szCs w:val="24"/>
        </w:rPr>
        <w:t xml:space="preserve">. </w:t>
      </w:r>
    </w:p>
    <w:p w:rsidR="00CB1DA8" w:rsidRPr="00115D69" w:rsidRDefault="00CB1DA8" w:rsidP="00CB1DA8">
      <w:pPr>
        <w:ind w:firstLine="360"/>
        <w:contextualSpacing/>
        <w:jc w:val="both"/>
        <w:rPr>
          <w:sz w:val="24"/>
          <w:szCs w:val="24"/>
        </w:rPr>
      </w:pPr>
      <w:r w:rsidRPr="00115D69">
        <w:rPr>
          <w:b/>
          <w:sz w:val="24"/>
          <w:szCs w:val="24"/>
        </w:rPr>
        <w:t>Đối tượng và phương pháp nghiên cứu</w:t>
      </w:r>
      <w:r w:rsidRPr="00115D69">
        <w:rPr>
          <w:sz w:val="24"/>
          <w:szCs w:val="24"/>
        </w:rPr>
        <w:t xml:space="preserve">: nghiên cứu hồi cứu 33 bệnh nhân đứt DCCT và DCCS được phẫu thuật nội soi tái tạo từ tháng 10/2012-4/2015 tại Bệnh viện Việt Đức. </w:t>
      </w:r>
    </w:p>
    <w:p w:rsidR="00CB1DA8" w:rsidRPr="00115D69" w:rsidRDefault="00CB1DA8" w:rsidP="00CB1DA8">
      <w:pPr>
        <w:ind w:firstLine="360"/>
        <w:contextualSpacing/>
        <w:jc w:val="both"/>
        <w:rPr>
          <w:sz w:val="24"/>
          <w:szCs w:val="24"/>
        </w:rPr>
      </w:pPr>
      <w:r w:rsidRPr="00115D69">
        <w:rPr>
          <w:b/>
          <w:sz w:val="24"/>
          <w:szCs w:val="24"/>
        </w:rPr>
        <w:t>Kết quả nghiên cứu</w:t>
      </w:r>
      <w:r w:rsidRPr="00115D69">
        <w:rPr>
          <w:sz w:val="24"/>
          <w:szCs w:val="24"/>
        </w:rPr>
        <w:t xml:space="preserve">: triệu chứng lâm sàng chủ yếu là lỏng khớp (90,9%), kẹt khớp (78,8%), 100% có dấu hiệu Lachman, 90,9% ngăn kéo trước, 78,8% ngăn kéo sau và 87,9% Pivot-shift dương tính. Cộng hưởng từ phát hiện được 100% tổn thương hoàn toàn DCCT và 90,9% DCCS, có độ nhạy chẩn đoán tổn thương sụn chêm 78%. </w:t>
      </w:r>
    </w:p>
    <w:p w:rsidR="00CB1DA8" w:rsidRPr="00115D69" w:rsidRDefault="00CB1DA8" w:rsidP="00CB1DA8">
      <w:pPr>
        <w:ind w:firstLine="360"/>
        <w:contextualSpacing/>
        <w:jc w:val="both"/>
        <w:rPr>
          <w:sz w:val="24"/>
          <w:szCs w:val="24"/>
        </w:rPr>
      </w:pPr>
      <w:r w:rsidRPr="00115D69">
        <w:rPr>
          <w:b/>
          <w:sz w:val="24"/>
          <w:szCs w:val="24"/>
        </w:rPr>
        <w:t>Kết luận</w:t>
      </w:r>
      <w:r w:rsidRPr="00115D69">
        <w:rPr>
          <w:sz w:val="24"/>
          <w:szCs w:val="24"/>
        </w:rPr>
        <w:t xml:space="preserve">: Việc khảo sát các đặc điểm lâm sàng và chẩn đoán hình ảnh của tổn thương DCCT và DCCS sẽ giúp phẫu thuật viên đánh giá một cách toàn diện tổn thương, từ đó có hướng điều trị phù hợp, giúp người bệnh phục hồi nhanh nhất và giảm thiểu những tai biến có thể xảy ra.  </w:t>
      </w:r>
    </w:p>
    <w:p w:rsidR="00CB1DA8" w:rsidRPr="00115D69" w:rsidRDefault="00CB1DA8" w:rsidP="00CB1DA8">
      <w:pPr>
        <w:ind w:firstLine="360"/>
        <w:contextualSpacing/>
        <w:jc w:val="both"/>
        <w:rPr>
          <w:sz w:val="24"/>
          <w:szCs w:val="24"/>
        </w:rPr>
      </w:pPr>
      <w:r w:rsidRPr="00115D69">
        <w:rPr>
          <w:b/>
          <w:i/>
          <w:sz w:val="24"/>
          <w:szCs w:val="24"/>
        </w:rPr>
        <w:t>Từ khóa:</w:t>
      </w:r>
      <w:r w:rsidRPr="00115D69">
        <w:rPr>
          <w:sz w:val="24"/>
          <w:szCs w:val="24"/>
        </w:rPr>
        <w:t xml:space="preserve"> tổn thương, dây chằng chéo trước, dây chằng chéo sau.</w:t>
      </w:r>
    </w:p>
    <w:p w:rsidR="00CB1DA8" w:rsidRPr="00115D69" w:rsidRDefault="00CB1DA8" w:rsidP="00CB1DA8">
      <w:pPr>
        <w:contextualSpacing/>
        <w:jc w:val="both"/>
        <w:rPr>
          <w:rFonts w:ascii="Calibri" w:hAnsi="Calibri" w:cs="Calibri"/>
          <w:b/>
          <w:sz w:val="24"/>
          <w:szCs w:val="24"/>
        </w:rPr>
      </w:pPr>
    </w:p>
    <w:p w:rsidR="00CB1DA8" w:rsidRPr="00115D69" w:rsidRDefault="00CB1DA8" w:rsidP="00CB1DA8">
      <w:pPr>
        <w:contextualSpacing/>
        <w:jc w:val="both"/>
        <w:rPr>
          <w:rFonts w:ascii="Calibri" w:hAnsi="Calibri" w:cs="Calibri"/>
          <w:b/>
          <w:sz w:val="24"/>
          <w:szCs w:val="24"/>
        </w:rPr>
      </w:pPr>
      <w:r w:rsidRPr="00115D69">
        <w:rPr>
          <w:rFonts w:ascii="Calibri" w:hAnsi="Calibri" w:cs="Calibri"/>
          <w:b/>
          <w:sz w:val="24"/>
          <w:szCs w:val="24"/>
        </w:rPr>
        <w:t>SUMMARY</w:t>
      </w:r>
    </w:p>
    <w:p w:rsidR="00CB1DA8" w:rsidRPr="00115D69" w:rsidRDefault="00CB1DA8" w:rsidP="00CB1DA8">
      <w:pPr>
        <w:contextualSpacing/>
        <w:jc w:val="center"/>
        <w:rPr>
          <w:rFonts w:ascii="Calibri" w:hAnsi="Calibri" w:cs="Calibri"/>
          <w:b/>
          <w:sz w:val="24"/>
          <w:szCs w:val="24"/>
        </w:rPr>
      </w:pPr>
      <w:r w:rsidRPr="00115D69">
        <w:rPr>
          <w:rFonts w:ascii="Calibri" w:hAnsi="Calibri" w:cs="Calibri"/>
          <w:b/>
          <w:sz w:val="24"/>
          <w:szCs w:val="24"/>
        </w:rPr>
        <w:t>CLINICAL AND MRI FEATURES IN LESIONS OF COMBINED ANTERIOR AND POSTERIOR CRUCIATE LIGAMENT</w:t>
      </w:r>
    </w:p>
    <w:p w:rsidR="00CB1DA8" w:rsidRPr="00115D69" w:rsidRDefault="00CB1DA8" w:rsidP="00CB1DA8">
      <w:pPr>
        <w:ind w:firstLine="360"/>
        <w:contextualSpacing/>
        <w:jc w:val="both"/>
        <w:rPr>
          <w:sz w:val="24"/>
          <w:szCs w:val="24"/>
        </w:rPr>
      </w:pPr>
      <w:r w:rsidRPr="00115D69">
        <w:rPr>
          <w:b/>
          <w:sz w:val="24"/>
          <w:szCs w:val="24"/>
        </w:rPr>
        <w:t>Objectives</w:t>
      </w:r>
      <w:r w:rsidRPr="00115D69">
        <w:rPr>
          <w:sz w:val="24"/>
          <w:szCs w:val="24"/>
        </w:rPr>
        <w:t xml:space="preserve">: report the clinical and MRI lesions of combined anterior and posterior cruciate ligament (ACL/PCL) injury. </w:t>
      </w:r>
    </w:p>
    <w:p w:rsidR="00CB1DA8" w:rsidRPr="00115D69" w:rsidRDefault="00CB1DA8" w:rsidP="00CB1DA8">
      <w:pPr>
        <w:ind w:firstLine="360"/>
        <w:contextualSpacing/>
        <w:jc w:val="both"/>
        <w:rPr>
          <w:sz w:val="24"/>
          <w:szCs w:val="24"/>
        </w:rPr>
      </w:pPr>
      <w:r w:rsidRPr="00115D69">
        <w:rPr>
          <w:b/>
          <w:sz w:val="24"/>
          <w:szCs w:val="24"/>
        </w:rPr>
        <w:t>Subjects and Methods</w:t>
      </w:r>
      <w:r w:rsidRPr="00115D69">
        <w:rPr>
          <w:sz w:val="24"/>
          <w:szCs w:val="24"/>
        </w:rPr>
        <w:t xml:space="preserve">: 33 patients who had combined ACL/PCL rupture were arthroscopically reconstructed in Viet Duc University Hospital. </w:t>
      </w:r>
    </w:p>
    <w:p w:rsidR="00CB1DA8" w:rsidRPr="00115D69" w:rsidRDefault="00CB1DA8" w:rsidP="00CB1DA8">
      <w:pPr>
        <w:ind w:firstLine="360"/>
        <w:contextualSpacing/>
        <w:jc w:val="both"/>
        <w:rPr>
          <w:sz w:val="24"/>
          <w:szCs w:val="24"/>
        </w:rPr>
      </w:pPr>
      <w:r w:rsidRPr="00115D69">
        <w:rPr>
          <w:b/>
          <w:sz w:val="24"/>
          <w:szCs w:val="24"/>
        </w:rPr>
        <w:t>Results</w:t>
      </w:r>
      <w:r w:rsidRPr="00115D69">
        <w:rPr>
          <w:sz w:val="24"/>
          <w:szCs w:val="24"/>
        </w:rPr>
        <w:t xml:space="preserve">: Instability was seen in 90,9%, locking in 78,8%, Lachman test in 100%, anterior drawer in 90,9%, posterior drawer in 78,8% and Pivot-shift in 87,9% of the patiens. MRI discovered ruptured ACL in 100% and ruptured PCL in 90,9% of the patiens. </w:t>
      </w:r>
    </w:p>
    <w:p w:rsidR="00CB1DA8" w:rsidRPr="00115D69" w:rsidRDefault="00CB1DA8" w:rsidP="00CB1DA8">
      <w:pPr>
        <w:ind w:firstLine="360"/>
        <w:contextualSpacing/>
        <w:jc w:val="both"/>
        <w:rPr>
          <w:sz w:val="24"/>
          <w:szCs w:val="24"/>
        </w:rPr>
      </w:pPr>
      <w:r w:rsidRPr="00115D69">
        <w:rPr>
          <w:b/>
          <w:sz w:val="24"/>
          <w:szCs w:val="24"/>
        </w:rPr>
        <w:t>Conclusion</w:t>
      </w:r>
      <w:r w:rsidRPr="00115D69">
        <w:rPr>
          <w:sz w:val="24"/>
          <w:szCs w:val="24"/>
        </w:rPr>
        <w:t>: The evaluation of the clinical and MRI lesions of combined ACL and PCL injury would help the surgeons to have the best treatment and rehabilitation.</w:t>
      </w:r>
      <w:r w:rsidRPr="00115D69">
        <w:rPr>
          <w:sz w:val="24"/>
          <w:szCs w:val="24"/>
        </w:rPr>
        <w:tab/>
      </w:r>
    </w:p>
    <w:p w:rsidR="00CB1DA8" w:rsidRPr="00115D69" w:rsidRDefault="00CB1DA8" w:rsidP="00CB1DA8">
      <w:pPr>
        <w:ind w:firstLine="360"/>
        <w:contextualSpacing/>
        <w:jc w:val="both"/>
        <w:rPr>
          <w:sz w:val="24"/>
          <w:szCs w:val="24"/>
        </w:rPr>
      </w:pPr>
      <w:r w:rsidRPr="00115D69">
        <w:rPr>
          <w:b/>
          <w:i/>
          <w:sz w:val="24"/>
          <w:szCs w:val="24"/>
        </w:rPr>
        <w:t>Keywords</w:t>
      </w:r>
      <w:r w:rsidRPr="00115D69">
        <w:rPr>
          <w:sz w:val="24"/>
          <w:szCs w:val="24"/>
        </w:rPr>
        <w:t>: rupture, combined ACL/PCL injury.</w:t>
      </w:r>
    </w:p>
    <w:p w:rsidR="008256DB" w:rsidRPr="00CB1DA8" w:rsidRDefault="008256DB" w:rsidP="00CB1DA8"/>
    <w:sectPr w:rsidR="008256DB" w:rsidRPr="00CB1DA8" w:rsidSect="00D865AD">
      <w:pgSz w:w="11906" w:h="16838"/>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A4F" w:rsidRDefault="001B3A4F" w:rsidP="00D865AD">
      <w:r>
        <w:separator/>
      </w:r>
    </w:p>
  </w:endnote>
  <w:endnote w:type="continuationSeparator" w:id="0">
    <w:p w:rsidR="001B3A4F" w:rsidRDefault="001B3A4F" w:rsidP="00D8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A4F" w:rsidRDefault="001B3A4F" w:rsidP="00D865AD">
      <w:r>
        <w:separator/>
      </w:r>
    </w:p>
  </w:footnote>
  <w:footnote w:type="continuationSeparator" w:id="0">
    <w:p w:rsidR="001B3A4F" w:rsidRDefault="001B3A4F" w:rsidP="00D865AD">
      <w:r>
        <w:continuationSeparator/>
      </w:r>
    </w:p>
  </w:footnote>
  <w:footnote w:id="1">
    <w:p w:rsidR="00CB1DA8" w:rsidRDefault="00CB1DA8" w:rsidP="00CB1DA8">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B4"/>
    <w:rsid w:val="000D1740"/>
    <w:rsid w:val="001B3A4F"/>
    <w:rsid w:val="00253AB4"/>
    <w:rsid w:val="00283B69"/>
    <w:rsid w:val="008256DB"/>
    <w:rsid w:val="00973B98"/>
    <w:rsid w:val="00B72C90"/>
    <w:rsid w:val="00C62033"/>
    <w:rsid w:val="00CB1DA8"/>
    <w:rsid w:val="00D865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4E806-B33F-4E0D-99EB-53DED8AC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AD"/>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D865AD"/>
    <w:rPr>
      <w:vertAlign w:val="superscript"/>
    </w:rPr>
  </w:style>
  <w:style w:type="paragraph" w:customStyle="1" w:styleId="ListParagraph1">
    <w:name w:val="List Paragraph1"/>
    <w:aliases w:val="Heading 41"/>
    <w:basedOn w:val="Normal"/>
    <w:link w:val="ListParagraphChar"/>
    <w:uiPriority w:val="99"/>
    <w:qFormat/>
    <w:rsid w:val="00283B69"/>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99"/>
    <w:rsid w:val="00283B69"/>
    <w:rPr>
      <w:rFonts w:ascii="Calibri" w:eastAsia="Calibri" w:hAnsi="Calibri" w:cs="Times New Roman"/>
      <w:lang w:val="en-US"/>
    </w:rPr>
  </w:style>
  <w:style w:type="character" w:styleId="Hyperlink">
    <w:name w:val="Hyperlink"/>
    <w:rsid w:val="00283B69"/>
    <w:rPr>
      <w:color w:val="0000FF"/>
      <w:u w:val="single"/>
    </w:rPr>
  </w:style>
  <w:style w:type="paragraph" w:customStyle="1" w:styleId="Body1">
    <w:name w:val="Body 1"/>
    <w:link w:val="Body1Char"/>
    <w:rsid w:val="000D1740"/>
    <w:pPr>
      <w:spacing w:after="200" w:line="276" w:lineRule="auto"/>
      <w:outlineLvl w:val="0"/>
    </w:pPr>
    <w:rPr>
      <w:rFonts w:ascii="Helvetica" w:eastAsia="ヒラギノ角ゴ Pro W3" w:hAnsi="Helvetica" w:cs="Times New Roman"/>
      <w:color w:val="000000"/>
      <w:szCs w:val="20"/>
      <w:lang w:val="en-US"/>
    </w:rPr>
  </w:style>
  <w:style w:type="character" w:customStyle="1" w:styleId="Body1Char">
    <w:name w:val="Body 1 Char"/>
    <w:link w:val="Body1"/>
    <w:locked/>
    <w:rsid w:val="000D1740"/>
    <w:rPr>
      <w:rFonts w:ascii="Helvetica" w:eastAsia="ヒラギノ角ゴ Pro W3" w:hAnsi="Helvetica"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2015-08-17T08:43:00Z</dcterms:created>
  <dcterms:modified xsi:type="dcterms:W3CDTF">2015-12-30T08:49:00Z</dcterms:modified>
</cp:coreProperties>
</file>