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26" w:rsidRPr="00280026" w:rsidRDefault="00280026" w:rsidP="00280026">
      <w:pPr>
        <w:contextualSpacing/>
        <w:jc w:val="center"/>
        <w:rPr>
          <w:rFonts w:ascii="Cambria" w:hAnsi="Cambria"/>
          <w:b/>
          <w:sz w:val="28"/>
          <w:szCs w:val="24"/>
        </w:rPr>
      </w:pPr>
      <w:r w:rsidRPr="00280026">
        <w:rPr>
          <w:rFonts w:ascii="Cambria" w:hAnsi="Cambria"/>
          <w:b/>
          <w:sz w:val="28"/>
          <w:szCs w:val="24"/>
        </w:rPr>
        <w:t>ĐÁNH GIÁ KẾT QUẢ PHẪU THUẬT NẠO VÀ GHÉP XƯƠNG KHÔ ĐỒNG LOẠI ĐIỀU TRỊ CÁC KHỐI U XƯƠNG LÀNH TÍNH</w:t>
      </w:r>
    </w:p>
    <w:p w:rsidR="00280026" w:rsidRPr="00115D69" w:rsidRDefault="00280026" w:rsidP="00280026">
      <w:pPr>
        <w:contextualSpacing/>
        <w:jc w:val="right"/>
        <w:rPr>
          <w:rFonts w:ascii="Times New Roman" w:hAnsi="Times New Roman" w:cs="Times New Roman"/>
          <w:b/>
          <w:sz w:val="24"/>
          <w:szCs w:val="24"/>
        </w:rPr>
      </w:pPr>
    </w:p>
    <w:p w:rsidR="00280026" w:rsidRPr="00115D69" w:rsidRDefault="00280026" w:rsidP="00280026">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Đào Xuân Thành*</w:t>
      </w:r>
    </w:p>
    <w:p w:rsidR="00280026" w:rsidRDefault="00280026" w:rsidP="00280026">
      <w:pPr>
        <w:widowControl w:val="0"/>
        <w:contextualSpacing/>
        <w:jc w:val="both"/>
        <w:outlineLvl w:val="0"/>
        <w:rPr>
          <w:b/>
          <w:sz w:val="24"/>
          <w:szCs w:val="24"/>
        </w:rPr>
      </w:pPr>
    </w:p>
    <w:p w:rsidR="00280026" w:rsidRPr="00115D69" w:rsidRDefault="00280026" w:rsidP="00280026">
      <w:pPr>
        <w:widowControl w:val="0"/>
        <w:contextualSpacing/>
        <w:jc w:val="both"/>
        <w:outlineLvl w:val="0"/>
        <w:rPr>
          <w:rFonts w:ascii="Calibri" w:hAnsi="Calibri" w:cs="Calibri"/>
          <w:b/>
          <w:sz w:val="24"/>
          <w:szCs w:val="24"/>
          <w:lang w:val="pt-BR"/>
        </w:rPr>
      </w:pPr>
      <w:r w:rsidRPr="00115D69">
        <w:rPr>
          <w:rFonts w:ascii="Calibri" w:hAnsi="Calibri" w:cs="Calibri"/>
          <w:b/>
          <w:sz w:val="24"/>
          <w:szCs w:val="24"/>
          <w:lang w:val="pt-BR"/>
        </w:rPr>
        <w:t>TÓM TẮT</w:t>
      </w:r>
      <w:r w:rsidRPr="00115D69">
        <w:rPr>
          <w:rStyle w:val="FootnoteReference"/>
          <w:rFonts w:ascii="Calibri" w:hAnsi="Calibri" w:cs="Calibri"/>
          <w:b/>
          <w:sz w:val="24"/>
          <w:szCs w:val="24"/>
          <w:lang w:val="pt-BR"/>
        </w:rPr>
        <w:footnoteReference w:id="1"/>
      </w:r>
    </w:p>
    <w:p w:rsidR="00280026" w:rsidRPr="00115D69" w:rsidRDefault="00280026" w:rsidP="00280026">
      <w:pPr>
        <w:widowControl w:val="0"/>
        <w:ind w:firstLine="360"/>
        <w:contextualSpacing/>
        <w:jc w:val="both"/>
        <w:outlineLvl w:val="0"/>
        <w:rPr>
          <w:sz w:val="24"/>
          <w:szCs w:val="24"/>
        </w:rPr>
      </w:pPr>
      <w:r w:rsidRPr="00115D69">
        <w:rPr>
          <w:b/>
          <w:sz w:val="24"/>
          <w:szCs w:val="24"/>
        </w:rPr>
        <w:t>Đặt vấn đề:</w:t>
      </w:r>
      <w:r w:rsidRPr="00115D69">
        <w:rPr>
          <w:sz w:val="24"/>
          <w:szCs w:val="24"/>
        </w:rPr>
        <w:t xml:space="preserve"> Xương khô đồng loại là một trong những vật liệu nhằm thay thế cho xương tự thân trong các phẫu thuật cần ghép xương. Mục đích nghiên cứu nhằm đánh giá kết quả phẫu thuật nạo u và ghép xương khô đồng loại cho các u xương lành tính. </w:t>
      </w:r>
    </w:p>
    <w:p w:rsidR="00280026" w:rsidRPr="00115D69" w:rsidRDefault="00280026" w:rsidP="00280026">
      <w:pPr>
        <w:widowControl w:val="0"/>
        <w:ind w:firstLine="360"/>
        <w:contextualSpacing/>
        <w:jc w:val="both"/>
        <w:outlineLvl w:val="0"/>
        <w:rPr>
          <w:sz w:val="24"/>
          <w:szCs w:val="24"/>
          <w:lang w:val="es-ES"/>
        </w:rPr>
      </w:pPr>
      <w:r w:rsidRPr="00115D69">
        <w:rPr>
          <w:b/>
          <w:sz w:val="24"/>
          <w:szCs w:val="24"/>
        </w:rPr>
        <w:t>Đối tượng và phương pháp nghiên cứu:</w:t>
      </w:r>
      <w:r w:rsidRPr="00115D69">
        <w:rPr>
          <w:sz w:val="24"/>
          <w:szCs w:val="24"/>
        </w:rPr>
        <w:t xml:space="preserve"> 50 </w:t>
      </w:r>
      <w:r w:rsidRPr="00115D69">
        <w:rPr>
          <w:sz w:val="24"/>
          <w:szCs w:val="24"/>
          <w:lang w:val="es-ES"/>
        </w:rPr>
        <w:t xml:space="preserve">bệnh nhân được chẩn đoán có các khối u xương lành tính ở các vị trí khác nhau, đã được phẫu thuật nạo u và ghép xương khô đồng loại. Các đặc điểm lâm sàng, cận lâm sàng, biến chứng, kết quả liền xương, tái phát khối u…được đánh giá ít nhất 12 tháng sau phẫu thuật. </w:t>
      </w:r>
    </w:p>
    <w:p w:rsidR="00280026" w:rsidRPr="00115D69" w:rsidRDefault="00280026" w:rsidP="00280026">
      <w:pPr>
        <w:widowControl w:val="0"/>
        <w:ind w:firstLine="360"/>
        <w:contextualSpacing/>
        <w:jc w:val="both"/>
        <w:outlineLvl w:val="0"/>
        <w:rPr>
          <w:bCs/>
          <w:sz w:val="24"/>
          <w:szCs w:val="24"/>
        </w:rPr>
      </w:pPr>
      <w:r w:rsidRPr="00115D69">
        <w:rPr>
          <w:b/>
          <w:sz w:val="24"/>
          <w:szCs w:val="24"/>
          <w:lang w:val="pt-BR"/>
        </w:rPr>
        <w:t>Kết quả:</w:t>
      </w:r>
      <w:r w:rsidRPr="00115D69">
        <w:rPr>
          <w:sz w:val="24"/>
          <w:szCs w:val="24"/>
          <w:lang w:val="pt-BR"/>
        </w:rPr>
        <w:t xml:space="preserve"> tỷ lệ liền xương ghép sau phẫu thuật là 92%, tỷ lệ tái phát khối u tại chỗ là 8%, nhiễm trùng 4%, không có tai biến và biến chứng khác</w:t>
      </w:r>
      <w:r w:rsidRPr="00115D69">
        <w:rPr>
          <w:bCs/>
          <w:sz w:val="24"/>
          <w:szCs w:val="24"/>
        </w:rPr>
        <w:t xml:space="preserve">. </w:t>
      </w:r>
    </w:p>
    <w:p w:rsidR="00280026" w:rsidRPr="00115D69" w:rsidRDefault="00280026" w:rsidP="00280026">
      <w:pPr>
        <w:widowControl w:val="0"/>
        <w:ind w:firstLine="360"/>
        <w:contextualSpacing/>
        <w:jc w:val="both"/>
        <w:outlineLvl w:val="0"/>
        <w:rPr>
          <w:sz w:val="24"/>
          <w:szCs w:val="24"/>
        </w:rPr>
      </w:pPr>
      <w:r w:rsidRPr="00115D69">
        <w:rPr>
          <w:b/>
          <w:sz w:val="24"/>
          <w:szCs w:val="24"/>
        </w:rPr>
        <w:t>Kết luận:</w:t>
      </w:r>
      <w:r w:rsidRPr="00115D69">
        <w:rPr>
          <w:sz w:val="24"/>
          <w:szCs w:val="24"/>
        </w:rPr>
        <w:t xml:space="preserve"> xương khô đồng loại là một vật liệu thay thế an toàn, được dung nạp tốt và là một sự lựa chọn tốt cho các phẫu thuật u xương lành tính. </w:t>
      </w:r>
    </w:p>
    <w:p w:rsidR="00280026" w:rsidRPr="00115D69" w:rsidRDefault="00280026" w:rsidP="00280026">
      <w:pPr>
        <w:widowControl w:val="0"/>
        <w:ind w:firstLine="360"/>
        <w:contextualSpacing/>
        <w:jc w:val="both"/>
        <w:outlineLvl w:val="0"/>
        <w:rPr>
          <w:sz w:val="24"/>
          <w:szCs w:val="24"/>
        </w:rPr>
      </w:pPr>
      <w:r w:rsidRPr="00115D69">
        <w:rPr>
          <w:b/>
          <w:i/>
          <w:sz w:val="24"/>
          <w:szCs w:val="24"/>
        </w:rPr>
        <w:t>Từ khóa:</w:t>
      </w:r>
      <w:r w:rsidRPr="00115D69">
        <w:rPr>
          <w:sz w:val="24"/>
          <w:szCs w:val="24"/>
        </w:rPr>
        <w:t xml:space="preserve"> u xương lành tính, ghép xương đồng loại, tự thân.</w:t>
      </w:r>
    </w:p>
    <w:p w:rsidR="00280026" w:rsidRDefault="00280026" w:rsidP="00280026">
      <w:pPr>
        <w:contextualSpacing/>
        <w:jc w:val="both"/>
        <w:rPr>
          <w:rFonts w:ascii="Calibri" w:hAnsi="Calibri" w:cs="Calibri"/>
          <w:b/>
          <w:bCs/>
          <w:sz w:val="24"/>
          <w:szCs w:val="24"/>
        </w:rPr>
      </w:pPr>
    </w:p>
    <w:p w:rsidR="00280026" w:rsidRPr="00115D69" w:rsidRDefault="00280026" w:rsidP="00280026">
      <w:pPr>
        <w:contextualSpacing/>
        <w:jc w:val="both"/>
        <w:rPr>
          <w:rFonts w:ascii="Calibri" w:hAnsi="Calibri" w:cs="Calibri"/>
          <w:b/>
          <w:bCs/>
          <w:sz w:val="24"/>
          <w:szCs w:val="24"/>
        </w:rPr>
      </w:pPr>
      <w:r w:rsidRPr="00115D69">
        <w:rPr>
          <w:rFonts w:ascii="Calibri" w:hAnsi="Calibri" w:cs="Calibri"/>
          <w:b/>
          <w:bCs/>
          <w:sz w:val="24"/>
          <w:szCs w:val="24"/>
        </w:rPr>
        <w:t>SUMMARY</w:t>
      </w:r>
    </w:p>
    <w:p w:rsidR="00280026" w:rsidRPr="00115D69" w:rsidRDefault="00280026" w:rsidP="00280026">
      <w:pPr>
        <w:contextualSpacing/>
        <w:jc w:val="center"/>
        <w:rPr>
          <w:b/>
          <w:bCs/>
          <w:sz w:val="24"/>
          <w:szCs w:val="24"/>
        </w:rPr>
      </w:pPr>
      <w:r w:rsidRPr="00115D69">
        <w:rPr>
          <w:b/>
          <w:bCs/>
          <w:sz w:val="24"/>
          <w:szCs w:val="24"/>
        </w:rPr>
        <w:t>THE CLINICAL RESULTS OF</w:t>
      </w:r>
    </w:p>
    <w:p w:rsidR="00280026" w:rsidRPr="00115D69" w:rsidRDefault="00280026" w:rsidP="00280026">
      <w:pPr>
        <w:contextualSpacing/>
        <w:jc w:val="center"/>
        <w:rPr>
          <w:b/>
          <w:bCs/>
          <w:sz w:val="24"/>
          <w:szCs w:val="24"/>
        </w:rPr>
      </w:pPr>
      <w:r w:rsidRPr="00115D69">
        <w:rPr>
          <w:b/>
          <w:sz w:val="24"/>
          <w:szCs w:val="24"/>
        </w:rPr>
        <w:t xml:space="preserve">CURETTAGE AND </w:t>
      </w:r>
      <w:r w:rsidRPr="00115D69">
        <w:rPr>
          <w:b/>
          <w:bCs/>
          <w:sz w:val="24"/>
          <w:szCs w:val="24"/>
        </w:rPr>
        <w:t>ALLOGRAFTING</w:t>
      </w:r>
    </w:p>
    <w:p w:rsidR="00280026" w:rsidRPr="00115D69" w:rsidRDefault="00280026" w:rsidP="00280026">
      <w:pPr>
        <w:contextualSpacing/>
        <w:jc w:val="center"/>
        <w:rPr>
          <w:b/>
          <w:bCs/>
          <w:sz w:val="24"/>
          <w:szCs w:val="24"/>
        </w:rPr>
      </w:pPr>
      <w:r w:rsidRPr="00115D69">
        <w:rPr>
          <w:b/>
          <w:bCs/>
          <w:sz w:val="24"/>
          <w:szCs w:val="24"/>
        </w:rPr>
        <w:t>FOR BENIGN BONE TUMOR</w:t>
      </w:r>
    </w:p>
    <w:p w:rsidR="00280026" w:rsidRPr="00115D69" w:rsidRDefault="00280026" w:rsidP="00280026">
      <w:pPr>
        <w:ind w:firstLine="360"/>
        <w:contextualSpacing/>
        <w:jc w:val="both"/>
        <w:rPr>
          <w:sz w:val="24"/>
          <w:szCs w:val="24"/>
        </w:rPr>
      </w:pPr>
      <w:r w:rsidRPr="00115D69">
        <w:rPr>
          <w:b/>
          <w:bCs/>
          <w:sz w:val="24"/>
          <w:szCs w:val="24"/>
        </w:rPr>
        <w:t xml:space="preserve">Backgrounds: </w:t>
      </w:r>
      <w:r w:rsidRPr="00115D69">
        <w:rPr>
          <w:sz w:val="24"/>
          <w:szCs w:val="24"/>
        </w:rPr>
        <w:t xml:space="preserve">Curettage and bone grafting is a method which can eliminate benign bone tumors while restoring structural integrity. The aim of this research is to study the clinical outcomes of using allografts bone in treating benign bone tumor. </w:t>
      </w:r>
      <w:r w:rsidRPr="00115D69">
        <w:rPr>
          <w:b/>
          <w:bCs/>
          <w:sz w:val="24"/>
          <w:szCs w:val="24"/>
        </w:rPr>
        <w:t xml:space="preserve">Methods:  </w:t>
      </w:r>
      <w:r w:rsidRPr="00115D69">
        <w:rPr>
          <w:sz w:val="24"/>
          <w:szCs w:val="24"/>
        </w:rPr>
        <w:t xml:space="preserve">50 patients with benign bone tumors treated with curettage and using allograft bone. The data were collected using a checklist which included age, gender, tumor type, tumor, staging, tumor location, graft type, bone incorporation and recurrence at least 12 months follow-up operation. </w:t>
      </w:r>
      <w:r w:rsidRPr="00115D69">
        <w:rPr>
          <w:b/>
          <w:bCs/>
          <w:sz w:val="24"/>
          <w:szCs w:val="24"/>
        </w:rPr>
        <w:t xml:space="preserve">Results: </w:t>
      </w:r>
      <w:r w:rsidRPr="00115D69">
        <w:rPr>
          <w:sz w:val="24"/>
          <w:szCs w:val="24"/>
        </w:rPr>
        <w:t>92% of the patients had complete incorporation of the graft into host bone after 6 months of surgery, t</w:t>
      </w:r>
      <w:r w:rsidRPr="00115D69">
        <w:rPr>
          <w:bCs/>
          <w:sz w:val="24"/>
          <w:szCs w:val="24"/>
        </w:rPr>
        <w:t xml:space="preserve">he rate of local recurrence of tumor was 8%, infection 4%, no other complications were observe. </w:t>
      </w:r>
      <w:r w:rsidRPr="00115D69">
        <w:rPr>
          <w:b/>
          <w:bCs/>
          <w:sz w:val="24"/>
          <w:szCs w:val="24"/>
        </w:rPr>
        <w:t xml:space="preserve">Conclusion: </w:t>
      </w:r>
      <w:r w:rsidRPr="00115D69">
        <w:rPr>
          <w:sz w:val="24"/>
          <w:szCs w:val="24"/>
        </w:rPr>
        <w:t xml:space="preserve">allografts bone is a good tolerated and safe material of choice in treatment of benign bone tumor surgery. </w:t>
      </w:r>
    </w:p>
    <w:p w:rsidR="00280026" w:rsidRPr="00115D69" w:rsidRDefault="00280026" w:rsidP="00280026">
      <w:pPr>
        <w:ind w:firstLine="360"/>
        <w:contextualSpacing/>
        <w:jc w:val="both"/>
        <w:rPr>
          <w:sz w:val="24"/>
          <w:szCs w:val="24"/>
        </w:rPr>
      </w:pPr>
      <w:r w:rsidRPr="00115D69">
        <w:rPr>
          <w:b/>
          <w:bCs/>
          <w:sz w:val="24"/>
          <w:szCs w:val="24"/>
        </w:rPr>
        <w:t xml:space="preserve">Keywords: </w:t>
      </w:r>
      <w:r w:rsidRPr="00115D69">
        <w:rPr>
          <w:sz w:val="24"/>
          <w:szCs w:val="24"/>
        </w:rPr>
        <w:t>Allograft, autograft, benign bone tumors.</w:t>
      </w:r>
    </w:p>
    <w:p w:rsidR="008256DB" w:rsidRPr="00280026" w:rsidRDefault="008256DB" w:rsidP="00280026"/>
    <w:sectPr w:rsidR="008256DB" w:rsidRPr="00280026" w:rsidSect="009A7294">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43" w:rsidRDefault="00FF7743" w:rsidP="009A7294">
      <w:r>
        <w:separator/>
      </w:r>
    </w:p>
  </w:endnote>
  <w:endnote w:type="continuationSeparator" w:id="0">
    <w:p w:rsidR="00FF7743" w:rsidRDefault="00FF7743" w:rsidP="009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43" w:rsidRDefault="00FF7743" w:rsidP="009A7294">
      <w:r>
        <w:separator/>
      </w:r>
    </w:p>
  </w:footnote>
  <w:footnote w:type="continuationSeparator" w:id="0">
    <w:p w:rsidR="00FF7743" w:rsidRDefault="00FF7743" w:rsidP="009A7294">
      <w:r>
        <w:continuationSeparator/>
      </w:r>
    </w:p>
  </w:footnote>
  <w:footnote w:id="1">
    <w:p w:rsidR="00280026" w:rsidRDefault="00280026" w:rsidP="00280026">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D"/>
    <w:rsid w:val="00280026"/>
    <w:rsid w:val="004B219D"/>
    <w:rsid w:val="008256DB"/>
    <w:rsid w:val="00827B3A"/>
    <w:rsid w:val="00971969"/>
    <w:rsid w:val="009A7294"/>
    <w:rsid w:val="00B65D1A"/>
    <w:rsid w:val="00C249F6"/>
    <w:rsid w:val="00D6544D"/>
    <w:rsid w:val="00FF77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A62C-B43B-4C0F-958D-7D63B9B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7294"/>
  </w:style>
  <w:style w:type="character" w:styleId="FootnoteReference">
    <w:name w:val="footnote reference"/>
    <w:aliases w:val="Footnote,Footnote + Arial,10 pt,Black,ftref,(NECG) Footnote Reference,16 Point,Superscript 6 Point,Body text (2) + Franklin Gothic Heavy1"/>
    <w:semiHidden/>
    <w:rsid w:val="009A7294"/>
    <w:rPr>
      <w:vertAlign w:val="superscript"/>
    </w:rPr>
  </w:style>
  <w:style w:type="character" w:styleId="Emphasis">
    <w:name w:val="Emphasis"/>
    <w:qFormat/>
    <w:rsid w:val="009A7294"/>
    <w:rPr>
      <w:i/>
      <w:iCs/>
    </w:rPr>
  </w:style>
  <w:style w:type="paragraph" w:customStyle="1" w:styleId="bb">
    <w:name w:val="bb"/>
    <w:basedOn w:val="Normal"/>
    <w:qFormat/>
    <w:rsid w:val="009A7294"/>
    <w:pPr>
      <w:widowControl w:val="0"/>
      <w:overflowPunct/>
      <w:autoSpaceDE/>
      <w:autoSpaceDN/>
      <w:adjustRightInd/>
      <w:spacing w:line="480" w:lineRule="auto"/>
      <w:jc w:val="center"/>
      <w:textAlignment w:val="auto"/>
    </w:pPr>
    <w:rPr>
      <w:rFonts w:ascii="Times New Roman" w:hAnsi="Times New Roman"/>
      <w:bCs/>
      <w:sz w:val="28"/>
      <w:szCs w:val="28"/>
      <w:lang w:val="fr-FR"/>
    </w:rPr>
  </w:style>
  <w:style w:type="paragraph" w:styleId="FootnoteText">
    <w:name w:val="footnote text"/>
    <w:basedOn w:val="Normal"/>
    <w:link w:val="FootnoteTextChar"/>
    <w:uiPriority w:val="99"/>
    <w:semiHidden/>
    <w:unhideWhenUsed/>
    <w:rsid w:val="009A7294"/>
  </w:style>
  <w:style w:type="character" w:customStyle="1" w:styleId="FootnoteTextChar">
    <w:name w:val="Footnote Text Char"/>
    <w:basedOn w:val="DefaultParagraphFont"/>
    <w:link w:val="FootnoteText"/>
    <w:uiPriority w:val="99"/>
    <w:semiHidden/>
    <w:rsid w:val="009A7294"/>
    <w:rPr>
      <w:rFonts w:ascii="Tahoma" w:eastAsia="Times New Roman" w:hAnsi="Tahoma" w:cs="Tahoma"/>
      <w:color w:val="000000"/>
      <w:sz w:val="20"/>
      <w:szCs w:val="20"/>
      <w:lang w:val="en-US"/>
    </w:rPr>
  </w:style>
  <w:style w:type="paragraph" w:customStyle="1" w:styleId="ListParagraph1">
    <w:name w:val="List Paragraph1"/>
    <w:aliases w:val="Heading 41"/>
    <w:basedOn w:val="Normal"/>
    <w:link w:val="ListParagraphChar"/>
    <w:uiPriority w:val="34"/>
    <w:qFormat/>
    <w:rsid w:val="00827B3A"/>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827B3A"/>
    <w:rPr>
      <w:rFonts w:ascii="Calibri" w:eastAsia="Calibri" w:hAnsi="Calibri" w:cs="Times New Roman"/>
      <w:lang w:val="en-US"/>
    </w:rPr>
  </w:style>
  <w:style w:type="character" w:styleId="Hyperlink">
    <w:name w:val="Hyperlink"/>
    <w:rsid w:val="00827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2015-08-17T08:44:00Z</dcterms:created>
  <dcterms:modified xsi:type="dcterms:W3CDTF">2015-12-30T08:49:00Z</dcterms:modified>
</cp:coreProperties>
</file>