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EA6" w:rsidRPr="009F5EA6" w:rsidRDefault="009F5EA6" w:rsidP="009F5EA6">
      <w:pPr>
        <w:contextualSpacing/>
        <w:jc w:val="center"/>
        <w:rPr>
          <w:rFonts w:ascii="Cambria" w:hAnsi="Cambria"/>
          <w:b/>
          <w:bCs/>
          <w:sz w:val="28"/>
          <w:szCs w:val="24"/>
        </w:rPr>
      </w:pPr>
      <w:r w:rsidRPr="009F5EA6">
        <w:rPr>
          <w:rFonts w:ascii="Cambria" w:hAnsi="Cambria"/>
          <w:b/>
          <w:bCs/>
          <w:sz w:val="28"/>
          <w:szCs w:val="24"/>
        </w:rPr>
        <w:t>ĐÁNH GIÁ KÉT QUẢ SỬ DỤNG VẠT DA LIÊN CỐT SAU</w:t>
      </w:r>
    </w:p>
    <w:p w:rsidR="009F5EA6" w:rsidRPr="009F5EA6" w:rsidRDefault="009F5EA6" w:rsidP="009F5EA6">
      <w:pPr>
        <w:contextualSpacing/>
        <w:jc w:val="center"/>
        <w:rPr>
          <w:rFonts w:ascii="Cambria" w:hAnsi="Cambria"/>
          <w:b/>
          <w:bCs/>
          <w:sz w:val="28"/>
          <w:szCs w:val="24"/>
        </w:rPr>
      </w:pPr>
      <w:r w:rsidRPr="009F5EA6">
        <w:rPr>
          <w:rFonts w:ascii="Cambria" w:hAnsi="Cambria"/>
          <w:b/>
          <w:bCs/>
          <w:sz w:val="28"/>
          <w:szCs w:val="24"/>
        </w:rPr>
        <w:t>TRONG TẠO HÌNH KHUYÉT PHẦN MỀM VÙNG BÀN TAY</w:t>
      </w:r>
    </w:p>
    <w:p w:rsidR="009F5EA6" w:rsidRPr="00115D69" w:rsidRDefault="009F5EA6" w:rsidP="009F5EA6">
      <w:pPr>
        <w:tabs>
          <w:tab w:val="left" w:pos="1139"/>
        </w:tabs>
        <w:ind w:firstLine="603"/>
        <w:contextualSpacing/>
        <w:jc w:val="right"/>
        <w:rPr>
          <w:rFonts w:eastAsia="MS Mincho"/>
          <w:sz w:val="24"/>
          <w:szCs w:val="24"/>
          <w:lang w:eastAsia="ja-JP"/>
        </w:rPr>
      </w:pPr>
    </w:p>
    <w:p w:rsidR="009F5EA6" w:rsidRPr="00115D69" w:rsidRDefault="009F5EA6" w:rsidP="009F5EA6">
      <w:pPr>
        <w:tabs>
          <w:tab w:val="left" w:pos="567"/>
          <w:tab w:val="left" w:pos="851"/>
        </w:tabs>
        <w:ind w:firstLine="567"/>
        <w:contextualSpacing/>
        <w:jc w:val="right"/>
        <w:rPr>
          <w:rFonts w:ascii="Times New Roman" w:eastAsia="MS Mincho" w:hAnsi="Times New Roman" w:cs="Times New Roman"/>
          <w:b/>
          <w:iCs/>
          <w:sz w:val="24"/>
          <w:szCs w:val="24"/>
          <w:vertAlign w:val="superscript"/>
          <w:lang w:eastAsia="ja-JP"/>
        </w:rPr>
      </w:pPr>
      <w:r w:rsidRPr="00115D69">
        <w:rPr>
          <w:rFonts w:ascii="Times New Roman" w:hAnsi="Times New Roman" w:cs="Times New Roman"/>
          <w:b/>
          <w:iCs/>
          <w:sz w:val="24"/>
          <w:szCs w:val="24"/>
        </w:rPr>
        <w:t>Phạm Hiếu Liê</w:t>
      </w:r>
      <w:r w:rsidRPr="00115D69">
        <w:rPr>
          <w:rFonts w:ascii="Times New Roman" w:eastAsia="MS Mincho" w:hAnsi="Times New Roman" w:cs="Times New Roman"/>
          <w:b/>
          <w:iCs/>
          <w:sz w:val="24"/>
          <w:szCs w:val="24"/>
          <w:lang w:eastAsia="ja-JP"/>
        </w:rPr>
        <w:t>m*</w:t>
      </w:r>
    </w:p>
    <w:p w:rsidR="009F5EA6" w:rsidRDefault="009F5EA6" w:rsidP="009F5EA6">
      <w:pPr>
        <w:tabs>
          <w:tab w:val="left" w:pos="567"/>
          <w:tab w:val="left" w:pos="851"/>
        </w:tabs>
        <w:ind w:right="100"/>
        <w:contextualSpacing/>
        <w:jc w:val="both"/>
        <w:rPr>
          <w:b/>
          <w:sz w:val="24"/>
          <w:szCs w:val="24"/>
        </w:rPr>
      </w:pPr>
    </w:p>
    <w:p w:rsidR="009F5EA6" w:rsidRPr="00115D69" w:rsidRDefault="009F5EA6" w:rsidP="009F5EA6">
      <w:pPr>
        <w:tabs>
          <w:tab w:val="left" w:pos="567"/>
          <w:tab w:val="left" w:pos="851"/>
        </w:tabs>
        <w:ind w:right="100"/>
        <w:contextualSpacing/>
        <w:jc w:val="both"/>
        <w:rPr>
          <w:rFonts w:eastAsia="MS Mincho"/>
          <w:b/>
          <w:bCs/>
          <w:sz w:val="24"/>
          <w:szCs w:val="24"/>
          <w:lang w:eastAsia="ja-JP"/>
        </w:rPr>
      </w:pPr>
      <w:r w:rsidRPr="00115D69">
        <w:rPr>
          <w:rFonts w:ascii="Calibri" w:eastAsia="MS Mincho" w:hAnsi="Calibri" w:cs="Calibri"/>
          <w:b/>
          <w:bCs/>
          <w:sz w:val="24"/>
          <w:szCs w:val="24"/>
          <w:lang w:eastAsia="ja-JP"/>
        </w:rPr>
        <w:t>TÓM TẮT</w:t>
      </w:r>
      <w:r w:rsidRPr="00115D69">
        <w:rPr>
          <w:rStyle w:val="FootnoteReference"/>
          <w:rFonts w:eastAsia="MS Mincho"/>
          <w:b/>
          <w:bCs/>
          <w:sz w:val="24"/>
          <w:szCs w:val="24"/>
          <w:lang w:eastAsia="ja-JP"/>
        </w:rPr>
        <w:footnoteReference w:id="1"/>
      </w:r>
    </w:p>
    <w:p w:rsidR="009F5EA6" w:rsidRPr="00115D69" w:rsidRDefault="009F5EA6" w:rsidP="009F5EA6">
      <w:pPr>
        <w:tabs>
          <w:tab w:val="left" w:pos="1139"/>
        </w:tabs>
        <w:ind w:firstLine="360"/>
        <w:contextualSpacing/>
        <w:jc w:val="both"/>
        <w:rPr>
          <w:rFonts w:eastAsia="MS Mincho"/>
          <w:sz w:val="24"/>
          <w:szCs w:val="24"/>
          <w:lang w:eastAsia="ja-JP"/>
        </w:rPr>
      </w:pPr>
      <w:r w:rsidRPr="00115D69">
        <w:rPr>
          <w:rFonts w:eastAsia="MS Mincho"/>
          <w:b/>
          <w:bCs/>
          <w:sz w:val="24"/>
          <w:szCs w:val="24"/>
          <w:lang w:eastAsia="ja-JP"/>
        </w:rPr>
        <w:t>Mục tiêu nghiên cứu:</w:t>
      </w:r>
      <w:r w:rsidRPr="00115D69">
        <w:rPr>
          <w:rFonts w:eastAsia="MS Mincho"/>
          <w:bCs/>
          <w:sz w:val="24"/>
          <w:szCs w:val="24"/>
          <w:lang w:eastAsia="ja-JP"/>
        </w:rPr>
        <w:t xml:space="preserve"> </w:t>
      </w:r>
      <w:r w:rsidRPr="00115D69">
        <w:rPr>
          <w:sz w:val="24"/>
          <w:szCs w:val="24"/>
        </w:rPr>
        <w:t>Khảo sát đặc điểm lâm sàng của tổn</w:t>
      </w:r>
      <w:r w:rsidRPr="00115D69">
        <w:rPr>
          <w:rFonts w:eastAsia="MS Mincho"/>
          <w:sz w:val="24"/>
          <w:szCs w:val="24"/>
          <w:lang w:eastAsia="ja-JP"/>
        </w:rPr>
        <w:t xml:space="preserve"> </w:t>
      </w:r>
      <w:r w:rsidRPr="00115D69">
        <w:rPr>
          <w:sz w:val="24"/>
          <w:szCs w:val="24"/>
        </w:rPr>
        <w:t>thương khuyết phần mềm vùng bàn tay</w:t>
      </w:r>
      <w:r w:rsidRPr="00115D69">
        <w:rPr>
          <w:rFonts w:eastAsia="MS Mincho"/>
          <w:sz w:val="24"/>
          <w:szCs w:val="24"/>
          <w:lang w:eastAsia="ja-JP"/>
        </w:rPr>
        <w:t xml:space="preserve"> </w:t>
      </w:r>
      <w:r w:rsidRPr="00115D69">
        <w:rPr>
          <w:sz w:val="24"/>
          <w:szCs w:val="24"/>
        </w:rPr>
        <w:t>được chỉ định sử</w:t>
      </w:r>
      <w:r w:rsidRPr="00115D69">
        <w:rPr>
          <w:rFonts w:eastAsia="MS Mincho"/>
          <w:sz w:val="24"/>
          <w:szCs w:val="24"/>
          <w:lang w:eastAsia="ja-JP"/>
        </w:rPr>
        <w:t xml:space="preserve"> </w:t>
      </w:r>
      <w:r w:rsidRPr="00115D69">
        <w:rPr>
          <w:sz w:val="24"/>
          <w:szCs w:val="24"/>
        </w:rPr>
        <w:t>dụng vạt da liên cốt sau</w:t>
      </w:r>
      <w:r w:rsidRPr="00115D69">
        <w:rPr>
          <w:rFonts w:eastAsia="MS Mincho"/>
          <w:sz w:val="24"/>
          <w:szCs w:val="24"/>
          <w:lang w:eastAsia="ja-JP"/>
        </w:rPr>
        <w:t xml:space="preserve">; </w:t>
      </w:r>
      <w:r w:rsidRPr="00115D69">
        <w:rPr>
          <w:sz w:val="24"/>
          <w:szCs w:val="24"/>
        </w:rPr>
        <w:t>Đánh giá kết quả sử dụng vạt da liên cốt sau trong việc che phủ khuyết phần mềm vùng bàn tay</w:t>
      </w:r>
      <w:r w:rsidRPr="00115D69">
        <w:rPr>
          <w:rFonts w:eastAsia="MS Mincho"/>
          <w:sz w:val="24"/>
          <w:szCs w:val="24"/>
          <w:lang w:eastAsia="ja-JP"/>
        </w:rPr>
        <w:t xml:space="preserve">. </w:t>
      </w:r>
    </w:p>
    <w:p w:rsidR="009F5EA6" w:rsidRPr="00115D69" w:rsidRDefault="009F5EA6" w:rsidP="009F5EA6">
      <w:pPr>
        <w:tabs>
          <w:tab w:val="left" w:pos="1139"/>
        </w:tabs>
        <w:ind w:firstLine="360"/>
        <w:contextualSpacing/>
        <w:jc w:val="both"/>
        <w:rPr>
          <w:rFonts w:eastAsia="MS Mincho"/>
          <w:bCs/>
          <w:sz w:val="24"/>
          <w:szCs w:val="24"/>
          <w:lang w:eastAsia="ja-JP"/>
        </w:rPr>
      </w:pPr>
      <w:r w:rsidRPr="00115D69">
        <w:rPr>
          <w:rFonts w:eastAsia="MS Mincho"/>
          <w:b/>
          <w:bCs/>
          <w:sz w:val="24"/>
          <w:szCs w:val="24"/>
          <w:lang w:eastAsia="ja-JP"/>
        </w:rPr>
        <w:t>Phương pháp nghiên cứu:</w:t>
      </w:r>
      <w:r w:rsidRPr="00115D69">
        <w:rPr>
          <w:rFonts w:eastAsia="MS Mincho"/>
          <w:bCs/>
          <w:sz w:val="24"/>
          <w:szCs w:val="24"/>
          <w:lang w:eastAsia="ja-JP"/>
        </w:rPr>
        <w:t xml:space="preserve"> Thiết kế nghiên cứu: Nghiên cứu các trường hợp bệnh; Tiêu chuẩn đánh giá kết quả: Đánh giá kết quả gần vào ngày thứ năm sau phẫu thuật, kết quả xa vào thời điểm ba tháng sau phẫu thuật. </w:t>
      </w:r>
    </w:p>
    <w:p w:rsidR="009F5EA6" w:rsidRPr="00115D69" w:rsidRDefault="009F5EA6" w:rsidP="009F5EA6">
      <w:pPr>
        <w:tabs>
          <w:tab w:val="left" w:pos="1139"/>
        </w:tabs>
        <w:ind w:firstLine="360"/>
        <w:contextualSpacing/>
        <w:jc w:val="both"/>
        <w:rPr>
          <w:rFonts w:eastAsia="MS Mincho"/>
          <w:sz w:val="24"/>
          <w:szCs w:val="24"/>
          <w:lang w:eastAsia="ja-JP"/>
        </w:rPr>
      </w:pPr>
      <w:r w:rsidRPr="00115D69">
        <w:rPr>
          <w:rFonts w:eastAsia="MS Mincho"/>
          <w:b/>
          <w:bCs/>
          <w:sz w:val="24"/>
          <w:szCs w:val="24"/>
          <w:lang w:eastAsia="ja-JP"/>
        </w:rPr>
        <w:t xml:space="preserve">Kết quả và kết luận: </w:t>
      </w:r>
      <w:r w:rsidRPr="00115D69">
        <w:rPr>
          <w:rFonts w:eastAsia="MS Mincho"/>
          <w:bCs/>
          <w:sz w:val="24"/>
          <w:szCs w:val="24"/>
          <w:lang w:eastAsia="ja-JP"/>
        </w:rPr>
        <w:t>Vị trí tổn thương chiếm tỉ lệ cao nhất ở mặt mu bàn tay (34,9%) và kẽ ngón tay I (21,8%). 78,2% vạt da có kích thước nhỏ hơn 50cm</w:t>
      </w:r>
      <w:r w:rsidRPr="00115D69">
        <w:rPr>
          <w:rFonts w:eastAsia="MS Mincho"/>
          <w:bCs/>
          <w:sz w:val="24"/>
          <w:szCs w:val="24"/>
          <w:vertAlign w:val="superscript"/>
          <w:lang w:eastAsia="ja-JP"/>
        </w:rPr>
        <w:t>2</w:t>
      </w:r>
      <w:r w:rsidRPr="00115D69">
        <w:rPr>
          <w:rFonts w:eastAsia="MS Mincho"/>
          <w:bCs/>
          <w:sz w:val="24"/>
          <w:szCs w:val="24"/>
          <w:lang w:eastAsia="ja-JP"/>
        </w:rPr>
        <w:t xml:space="preserve">. 82,6% vạt da sống tốt. 13% hoại tử một phần đầu xa. Không có trường hợp nào thấy tay bên lấy vạt lạnh hơn bên lành. Động tác gập duỗi khuỷu thực hiện được bình thường trên 100% trường hợp. 56,6% cầm nắm bình thường. 100% vạt da và nơi lấy vạt da được đánh giá từ khá đến rất tốt sau ba tháng phẫu thuật.Nghiên cứu đã đưa ra một số yếu tố để xem xét tiến hành chỉ định vạt liên cốt sau trong che phủ khuyết phần mềm vùng bàn tay: Phải có nhánh động mạch Salmon; Tổn thương phối hợp tại bàn tay, </w:t>
      </w:r>
      <w:r w:rsidRPr="00115D69">
        <w:rPr>
          <w:rFonts w:eastAsia="MS Mincho"/>
          <w:bCs/>
          <w:spacing w:val="-2"/>
          <w:sz w:val="24"/>
          <w:szCs w:val="24"/>
          <w:lang w:eastAsia="ja-JP"/>
        </w:rPr>
        <w:t>không chỉ là mất da đơn thuần; Diện tích mất da của tổn thương ≤ 50cm2; Vị trí tổn thương: mặt mu, mặt gan bàn tay, mặt trước cổ tay, ngón tay cái, mặt lưng các ngón tay dài đặc biệt là mặt mu bàn tay và kẽ ngón tay I; Da ở vùng cẳng tay sau không có bệnh lý trước đó như sẹo bỏng, co kéo, nhiễm trùng; Bệnh nhân chấp nhận sẹo ở vùng cẳng tay sau nơi lấy vạt da.</w:t>
      </w:r>
    </w:p>
    <w:p w:rsidR="009F5EA6" w:rsidRPr="00115D69" w:rsidRDefault="009F5EA6" w:rsidP="009F5EA6">
      <w:pPr>
        <w:tabs>
          <w:tab w:val="left" w:pos="567"/>
          <w:tab w:val="left" w:pos="851"/>
        </w:tabs>
        <w:ind w:right="100" w:firstLine="360"/>
        <w:contextualSpacing/>
        <w:jc w:val="both"/>
        <w:rPr>
          <w:rFonts w:eastAsia="MS Mincho"/>
          <w:b/>
          <w:bCs/>
          <w:sz w:val="24"/>
          <w:szCs w:val="24"/>
          <w:lang w:eastAsia="ja-JP"/>
        </w:rPr>
      </w:pPr>
      <w:r w:rsidRPr="00115D69">
        <w:rPr>
          <w:rFonts w:eastAsia="MS Mincho"/>
          <w:b/>
          <w:bCs/>
          <w:i/>
          <w:sz w:val="24"/>
          <w:szCs w:val="24"/>
          <w:lang w:eastAsia="ja-JP"/>
        </w:rPr>
        <w:t>Từ khóa:</w:t>
      </w:r>
      <w:r w:rsidRPr="00115D69">
        <w:rPr>
          <w:rFonts w:eastAsia="MS Mincho"/>
          <w:b/>
          <w:bCs/>
          <w:sz w:val="24"/>
          <w:szCs w:val="24"/>
          <w:lang w:eastAsia="ja-JP"/>
        </w:rPr>
        <w:t xml:space="preserve"> </w:t>
      </w:r>
      <w:r w:rsidRPr="00115D69">
        <w:rPr>
          <w:rFonts w:eastAsia="MS Mincho"/>
          <w:bCs/>
          <w:sz w:val="24"/>
          <w:szCs w:val="24"/>
          <w:lang w:eastAsia="ja-JP"/>
        </w:rPr>
        <w:t>Tổn thương khuyết phần mềm vùng bàn tay; Vạt da liên cốt sau.</w:t>
      </w:r>
    </w:p>
    <w:p w:rsidR="009F5EA6" w:rsidRPr="00115D69" w:rsidRDefault="009F5EA6" w:rsidP="009F5EA6">
      <w:pPr>
        <w:tabs>
          <w:tab w:val="left" w:pos="567"/>
          <w:tab w:val="left" w:pos="851"/>
        </w:tabs>
        <w:ind w:right="101"/>
        <w:contextualSpacing/>
        <w:jc w:val="both"/>
        <w:rPr>
          <w:rFonts w:eastAsia="MS Mincho"/>
          <w:b/>
          <w:bCs/>
          <w:sz w:val="24"/>
          <w:szCs w:val="24"/>
          <w:lang w:eastAsia="ja-JP"/>
        </w:rPr>
      </w:pPr>
    </w:p>
    <w:p w:rsidR="009F5EA6" w:rsidRPr="00115D69" w:rsidRDefault="009F5EA6" w:rsidP="009F5EA6">
      <w:pPr>
        <w:tabs>
          <w:tab w:val="left" w:pos="567"/>
          <w:tab w:val="left" w:pos="851"/>
        </w:tabs>
        <w:ind w:right="100"/>
        <w:contextualSpacing/>
        <w:jc w:val="both"/>
        <w:rPr>
          <w:rFonts w:ascii="Calibri" w:eastAsia="MS Mincho" w:hAnsi="Calibri" w:cs="Calibri"/>
          <w:b/>
          <w:bCs/>
          <w:sz w:val="24"/>
          <w:szCs w:val="24"/>
          <w:lang w:eastAsia="ja-JP"/>
        </w:rPr>
      </w:pPr>
      <w:r w:rsidRPr="00115D69">
        <w:rPr>
          <w:rFonts w:ascii="Calibri" w:eastAsia="MS Mincho" w:hAnsi="Calibri" w:cs="Calibri"/>
          <w:b/>
          <w:bCs/>
          <w:sz w:val="24"/>
          <w:szCs w:val="24"/>
          <w:lang w:eastAsia="ja-JP"/>
        </w:rPr>
        <w:t>SUMMARY</w:t>
      </w:r>
    </w:p>
    <w:p w:rsidR="009F5EA6" w:rsidRPr="00115D69" w:rsidRDefault="009F5EA6" w:rsidP="009F5EA6">
      <w:pPr>
        <w:tabs>
          <w:tab w:val="left" w:pos="567"/>
          <w:tab w:val="left" w:pos="851"/>
        </w:tabs>
        <w:contextualSpacing/>
        <w:jc w:val="center"/>
        <w:rPr>
          <w:rFonts w:eastAsia="MS Mincho"/>
          <w:b/>
          <w:bCs/>
          <w:sz w:val="24"/>
          <w:szCs w:val="24"/>
          <w:lang w:eastAsia="ja-JP"/>
        </w:rPr>
      </w:pPr>
      <w:r w:rsidRPr="00115D69">
        <w:rPr>
          <w:rFonts w:eastAsia="MS Mincho"/>
          <w:b/>
          <w:bCs/>
          <w:sz w:val="24"/>
          <w:szCs w:val="24"/>
          <w:lang w:eastAsia="ja-JP"/>
        </w:rPr>
        <w:t>EVALUATION OF THE EFFICIENCY OF USING THE PECICLE GROIN FLAPS IN THE RECONSTRUCTION OF THE EXTENSIVE LOSS OF HAND SOFT TISSUE</w:t>
      </w:r>
    </w:p>
    <w:p w:rsidR="009F5EA6" w:rsidRPr="00115D69" w:rsidRDefault="009F5EA6" w:rsidP="009F5EA6">
      <w:pPr>
        <w:tabs>
          <w:tab w:val="left" w:pos="567"/>
          <w:tab w:val="left" w:pos="851"/>
        </w:tabs>
        <w:ind w:right="101" w:firstLine="360"/>
        <w:contextualSpacing/>
        <w:jc w:val="both"/>
        <w:rPr>
          <w:rFonts w:eastAsia="MS Mincho"/>
          <w:bCs/>
          <w:sz w:val="24"/>
          <w:szCs w:val="24"/>
          <w:lang w:eastAsia="ja-JP"/>
        </w:rPr>
      </w:pPr>
      <w:r w:rsidRPr="00115D69">
        <w:rPr>
          <w:rFonts w:eastAsia="MS Mincho"/>
          <w:b/>
          <w:bCs/>
          <w:sz w:val="24"/>
          <w:szCs w:val="24"/>
          <w:lang w:eastAsia="ja-JP"/>
        </w:rPr>
        <w:t xml:space="preserve">Objective: </w:t>
      </w:r>
      <w:r w:rsidRPr="00115D69">
        <w:rPr>
          <w:rFonts w:eastAsia="MS Mincho"/>
          <w:bCs/>
          <w:sz w:val="24"/>
          <w:szCs w:val="24"/>
          <w:lang w:eastAsia="ja-JP"/>
        </w:rPr>
        <w:t xml:space="preserve">Investigate clinic characteristics of the extensive loss of hand soft tissue indicated using the posterior interosseous flap; Evaluation of the efficiency of using the posterior interosseous flap of the loss of hand soft tissue. </w:t>
      </w:r>
    </w:p>
    <w:p w:rsidR="009F5EA6" w:rsidRPr="00115D69" w:rsidRDefault="009F5EA6" w:rsidP="009F5EA6">
      <w:pPr>
        <w:tabs>
          <w:tab w:val="left" w:pos="567"/>
          <w:tab w:val="left" w:pos="851"/>
        </w:tabs>
        <w:ind w:right="101" w:firstLine="360"/>
        <w:contextualSpacing/>
        <w:jc w:val="both"/>
        <w:rPr>
          <w:rFonts w:eastAsia="MS Mincho"/>
          <w:bCs/>
          <w:spacing w:val="-6"/>
          <w:sz w:val="24"/>
          <w:szCs w:val="24"/>
          <w:lang w:eastAsia="ja-JP"/>
        </w:rPr>
      </w:pPr>
      <w:r w:rsidRPr="00115D69">
        <w:rPr>
          <w:rFonts w:eastAsia="MS Mincho"/>
          <w:b/>
          <w:bCs/>
          <w:spacing w:val="-6"/>
          <w:sz w:val="24"/>
          <w:szCs w:val="24"/>
          <w:lang w:eastAsia="ja-JP"/>
        </w:rPr>
        <w:t xml:space="preserve">Method: </w:t>
      </w:r>
      <w:r w:rsidRPr="00115D69">
        <w:rPr>
          <w:rFonts w:eastAsia="MS Mincho"/>
          <w:bCs/>
          <w:spacing w:val="-6"/>
          <w:sz w:val="24"/>
          <w:szCs w:val="24"/>
          <w:lang w:eastAsia="ja-JP"/>
        </w:rPr>
        <w:t xml:space="preserve">Research designing: Case series; Standard of result investigation: Early relt in five day post-operative, lately result in three month post-operative. </w:t>
      </w:r>
    </w:p>
    <w:p w:rsidR="009F5EA6" w:rsidRPr="00115D69" w:rsidRDefault="009F5EA6" w:rsidP="009F5EA6">
      <w:pPr>
        <w:tabs>
          <w:tab w:val="left" w:pos="567"/>
          <w:tab w:val="left" w:pos="851"/>
        </w:tabs>
        <w:ind w:right="101" w:firstLine="360"/>
        <w:contextualSpacing/>
        <w:jc w:val="both"/>
        <w:rPr>
          <w:rFonts w:eastAsia="MS Mincho"/>
          <w:bCs/>
          <w:sz w:val="24"/>
          <w:szCs w:val="24"/>
          <w:lang w:eastAsia="ja-JP"/>
        </w:rPr>
      </w:pPr>
      <w:r w:rsidRPr="00115D69">
        <w:rPr>
          <w:rFonts w:eastAsia="MS Mincho"/>
          <w:b/>
          <w:bCs/>
          <w:sz w:val="24"/>
          <w:szCs w:val="24"/>
          <w:lang w:eastAsia="ja-JP"/>
        </w:rPr>
        <w:t xml:space="preserve">Results and conclusion: </w:t>
      </w:r>
      <w:r w:rsidRPr="00115D69">
        <w:rPr>
          <w:rFonts w:eastAsia="MS Mincho"/>
          <w:bCs/>
          <w:sz w:val="24"/>
          <w:szCs w:val="24"/>
          <w:lang w:eastAsia="ja-JP"/>
        </w:rPr>
        <w:t>The highest rate of defect skin is the dorsum of hand (34,9%) and the first ewb space (21,8%). 78,2% of cases have surface of the flap less 50 cm</w:t>
      </w:r>
      <w:r w:rsidRPr="00115D69">
        <w:rPr>
          <w:rFonts w:eastAsia="MS Mincho"/>
          <w:bCs/>
          <w:sz w:val="24"/>
          <w:szCs w:val="24"/>
          <w:vertAlign w:val="superscript"/>
          <w:lang w:eastAsia="ja-JP"/>
        </w:rPr>
        <w:t>2</w:t>
      </w:r>
      <w:r w:rsidRPr="00115D69">
        <w:rPr>
          <w:rFonts w:eastAsia="MS Mincho"/>
          <w:bCs/>
          <w:sz w:val="24"/>
          <w:szCs w:val="24"/>
          <w:lang w:eastAsia="ja-JP"/>
        </w:rPr>
        <w:t>. All skin flaps and grafts survived. No skin necrosis was noted in any cases. There was no difference in the perception of the temperature between the two hands. The extension and flexion movement of the elbow can be comfortably performed. The study has demonstrated some important elements which have the impact on the indication of posterior interosseous flap in the treatment of loss of hand soft tissue: 1. Obligatory presence of the Salmon artery; 2. Combined wounds in the hand; 3. The dimension of the wound is less 50 cm</w:t>
      </w:r>
      <w:r w:rsidRPr="00115D69">
        <w:rPr>
          <w:rFonts w:eastAsia="MS Mincho"/>
          <w:bCs/>
          <w:sz w:val="24"/>
          <w:szCs w:val="24"/>
          <w:vertAlign w:val="superscript"/>
          <w:lang w:eastAsia="ja-JP"/>
        </w:rPr>
        <w:t>2</w:t>
      </w:r>
      <w:r w:rsidRPr="00115D69">
        <w:rPr>
          <w:rFonts w:eastAsia="MS Mincho"/>
          <w:bCs/>
          <w:sz w:val="24"/>
          <w:szCs w:val="24"/>
          <w:lang w:eastAsia="ja-JP"/>
        </w:rPr>
        <w:t>. 4. Skin defects: palm, dorsum of hand, wrist, thumb, dorsum of the finger especially dorsum of hand and the first web space; 5. Skin dornor in 1/3 superior of the forearm is healthy; 6. Patients accept long scar in the posterior forearm.</w:t>
      </w:r>
    </w:p>
    <w:p w:rsidR="009F5EA6" w:rsidRPr="00115D69" w:rsidRDefault="009F5EA6" w:rsidP="009F5EA6">
      <w:pPr>
        <w:tabs>
          <w:tab w:val="left" w:pos="567"/>
          <w:tab w:val="left" w:pos="851"/>
        </w:tabs>
        <w:ind w:right="101" w:firstLine="360"/>
        <w:contextualSpacing/>
        <w:jc w:val="both"/>
        <w:rPr>
          <w:rFonts w:eastAsia="MS Mincho"/>
          <w:bCs/>
          <w:sz w:val="24"/>
          <w:szCs w:val="24"/>
          <w:lang w:eastAsia="ja-JP"/>
        </w:rPr>
      </w:pPr>
      <w:r w:rsidRPr="00115D69">
        <w:rPr>
          <w:rFonts w:eastAsia="MS Mincho"/>
          <w:b/>
          <w:bCs/>
          <w:i/>
          <w:sz w:val="24"/>
          <w:szCs w:val="24"/>
          <w:lang w:eastAsia="ja-JP"/>
        </w:rPr>
        <w:t>Keywords:</w:t>
      </w:r>
      <w:r w:rsidRPr="00115D69">
        <w:rPr>
          <w:rFonts w:eastAsia="MS Mincho"/>
          <w:bCs/>
          <w:sz w:val="24"/>
          <w:szCs w:val="24"/>
          <w:lang w:eastAsia="ja-JP"/>
        </w:rPr>
        <w:t xml:space="preserve"> Loss of hand soft tissue; Posterior interosseous flap.</w:t>
      </w:r>
    </w:p>
    <w:p w:rsidR="008256DB" w:rsidRPr="009F5EA6" w:rsidRDefault="008256DB" w:rsidP="009F5EA6"/>
    <w:sectPr w:rsidR="008256DB" w:rsidRPr="009F5EA6" w:rsidSect="009F5EA6">
      <w:pgSz w:w="11906" w:h="16838"/>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940" w:rsidRDefault="009D4940" w:rsidP="007E6F97">
      <w:r>
        <w:separator/>
      </w:r>
    </w:p>
  </w:endnote>
  <w:endnote w:type="continuationSeparator" w:id="0">
    <w:p w:rsidR="009D4940" w:rsidRDefault="009D4940" w:rsidP="007E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940" w:rsidRDefault="009D4940" w:rsidP="007E6F97">
      <w:r>
        <w:separator/>
      </w:r>
    </w:p>
  </w:footnote>
  <w:footnote w:type="continuationSeparator" w:id="0">
    <w:p w:rsidR="009D4940" w:rsidRDefault="009D4940" w:rsidP="007E6F97">
      <w:r>
        <w:continuationSeparator/>
      </w:r>
    </w:p>
  </w:footnote>
  <w:footnote w:id="1">
    <w:p w:rsidR="009F5EA6" w:rsidRPr="000F77C9" w:rsidRDefault="009F5EA6" w:rsidP="009F5EA6">
      <w:pPr>
        <w:rPr>
          <w:sz w:val="18"/>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F3"/>
    <w:rsid w:val="00044F4F"/>
    <w:rsid w:val="007E126B"/>
    <w:rsid w:val="007E6F97"/>
    <w:rsid w:val="00813CE8"/>
    <w:rsid w:val="008256DB"/>
    <w:rsid w:val="009D4940"/>
    <w:rsid w:val="009F5EA6"/>
    <w:rsid w:val="00A62C5C"/>
    <w:rsid w:val="00BF1F5C"/>
    <w:rsid w:val="00BF4DF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91B34-9E9E-4A43-81C3-E686A609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F97"/>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Body text (2) + Franklin Gothic Heavy1"/>
    <w:semiHidden/>
    <w:rsid w:val="007E6F97"/>
    <w:rPr>
      <w:vertAlign w:val="superscript"/>
    </w:rPr>
  </w:style>
  <w:style w:type="paragraph" w:styleId="FootnoteText">
    <w:name w:val="footnote text"/>
    <w:aliases w:val="footnote text,single space,fn,fn Char Char Char"/>
    <w:basedOn w:val="Normal"/>
    <w:link w:val="FootnoteTextChar1"/>
    <w:uiPriority w:val="99"/>
    <w:semiHidden/>
    <w:rsid w:val="00BF1F5C"/>
    <w:pPr>
      <w:overflowPunct/>
      <w:autoSpaceDE/>
      <w:autoSpaceDN/>
      <w:adjustRightInd/>
      <w:textAlignment w:val="auto"/>
    </w:pPr>
    <w:rPr>
      <w:rFonts w:ascii="Times New Roman" w:hAnsi="Times New Roman" w:cs="Times New Roman"/>
      <w:color w:val="auto"/>
    </w:rPr>
  </w:style>
  <w:style w:type="character" w:customStyle="1" w:styleId="FootnoteTextChar">
    <w:name w:val="Footnote Text Char"/>
    <w:basedOn w:val="DefaultParagraphFont"/>
    <w:uiPriority w:val="99"/>
    <w:semiHidden/>
    <w:rsid w:val="00BF1F5C"/>
    <w:rPr>
      <w:rFonts w:ascii="Tahoma" w:eastAsia="Times New Roman" w:hAnsi="Tahoma" w:cs="Tahoma"/>
      <w:color w:val="000000"/>
      <w:sz w:val="20"/>
      <w:szCs w:val="20"/>
      <w:lang w:val="en-US"/>
    </w:rPr>
  </w:style>
  <w:style w:type="character" w:customStyle="1" w:styleId="FootnoteTextChar1">
    <w:name w:val="Footnote Text Char1"/>
    <w:aliases w:val="footnote text Char,single space Char,fn Char,fn Char Char Char Char"/>
    <w:link w:val="FootnoteText"/>
    <w:uiPriority w:val="99"/>
    <w:semiHidden/>
    <w:locked/>
    <w:rsid w:val="00BF1F5C"/>
    <w:rPr>
      <w:rFonts w:ascii="Times New Roman" w:eastAsia="Times New Roman" w:hAnsi="Times New Roman" w:cs="Times New Roman"/>
      <w:sz w:val="20"/>
      <w:szCs w:val="20"/>
      <w:lang w:val="en-US"/>
    </w:rPr>
  </w:style>
  <w:style w:type="paragraph" w:styleId="Title">
    <w:name w:val="Title"/>
    <w:aliases w:val="DIEU1"/>
    <w:basedOn w:val="Normal"/>
    <w:link w:val="TitleChar1"/>
    <w:qFormat/>
    <w:rsid w:val="00BF1F5C"/>
    <w:pPr>
      <w:overflowPunct/>
      <w:autoSpaceDE/>
      <w:autoSpaceDN/>
      <w:adjustRightInd/>
      <w:jc w:val="center"/>
      <w:textAlignment w:val="auto"/>
    </w:pPr>
    <w:rPr>
      <w:rFonts w:ascii=".VnTimeH" w:hAnsi=".VnTimeH" w:cs="Times New Roman"/>
      <w:color w:val="auto"/>
      <w:sz w:val="36"/>
    </w:rPr>
  </w:style>
  <w:style w:type="character" w:customStyle="1" w:styleId="TitleChar">
    <w:name w:val="Title Char"/>
    <w:basedOn w:val="DefaultParagraphFont"/>
    <w:uiPriority w:val="10"/>
    <w:rsid w:val="00BF1F5C"/>
    <w:rPr>
      <w:rFonts w:asciiTheme="majorHAnsi" w:eastAsiaTheme="majorEastAsia" w:hAnsiTheme="majorHAnsi" w:cstheme="majorBidi"/>
      <w:spacing w:val="-10"/>
      <w:kern w:val="28"/>
      <w:sz w:val="56"/>
      <w:szCs w:val="56"/>
      <w:lang w:val="en-US"/>
    </w:rPr>
  </w:style>
  <w:style w:type="character" w:styleId="Strong">
    <w:name w:val="Strong"/>
    <w:aliases w:val="dieu,heading4"/>
    <w:qFormat/>
    <w:rsid w:val="00BF1F5C"/>
    <w:rPr>
      <w:b/>
      <w:bCs/>
    </w:rPr>
  </w:style>
  <w:style w:type="character" w:customStyle="1" w:styleId="TitleChar1">
    <w:name w:val="Title Char1"/>
    <w:aliases w:val="DIEU1 Char"/>
    <w:link w:val="Title"/>
    <w:locked/>
    <w:rsid w:val="00BF1F5C"/>
    <w:rPr>
      <w:rFonts w:ascii=".VnTimeH" w:eastAsia="Times New Roman" w:hAnsi=".VnTimeH" w:cs="Times New Roman"/>
      <w:sz w:val="36"/>
      <w:szCs w:val="20"/>
      <w:lang w:val="en-US"/>
    </w:rPr>
  </w:style>
  <w:style w:type="character" w:styleId="Hyperlink">
    <w:name w:val="Hyperlink"/>
    <w:rsid w:val="009F5E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2015-08-17T08:50:00Z</dcterms:created>
  <dcterms:modified xsi:type="dcterms:W3CDTF">2015-12-30T08:52:00Z</dcterms:modified>
</cp:coreProperties>
</file>