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48" w:rsidRPr="00841048" w:rsidRDefault="00841048" w:rsidP="00841048">
      <w:pPr>
        <w:contextualSpacing/>
        <w:jc w:val="center"/>
        <w:rPr>
          <w:rFonts w:ascii="Cambria" w:hAnsi="Cambria"/>
          <w:b/>
          <w:bCs/>
          <w:sz w:val="28"/>
          <w:szCs w:val="24"/>
        </w:rPr>
      </w:pPr>
      <w:r w:rsidRPr="00841048">
        <w:rPr>
          <w:rFonts w:ascii="Cambria" w:hAnsi="Cambria"/>
          <w:b/>
          <w:bCs/>
          <w:sz w:val="28"/>
          <w:szCs w:val="24"/>
        </w:rPr>
        <w:t>TỶ LỆ ĐÁI THÁO ĐƯỜNG VÀ TIỀN ĐÁI THÁO ĐƯỜNG</w:t>
      </w:r>
    </w:p>
    <w:p w:rsidR="00841048" w:rsidRPr="00841048" w:rsidRDefault="00841048" w:rsidP="00841048">
      <w:pPr>
        <w:contextualSpacing/>
        <w:jc w:val="center"/>
        <w:rPr>
          <w:rFonts w:ascii="Cambria" w:hAnsi="Cambria"/>
          <w:b/>
          <w:bCs/>
          <w:sz w:val="28"/>
          <w:szCs w:val="24"/>
        </w:rPr>
      </w:pPr>
      <w:r w:rsidRPr="00841048">
        <w:rPr>
          <w:rFonts w:ascii="Cambria" w:hAnsi="Cambria"/>
          <w:b/>
          <w:bCs/>
          <w:sz w:val="28"/>
          <w:szCs w:val="24"/>
        </w:rPr>
        <w:t>TẠI THÀNH PHỐ HÀ NỘI, NĂM 2013</w:t>
      </w:r>
    </w:p>
    <w:p w:rsidR="00841048" w:rsidRPr="00115D69" w:rsidRDefault="00841048" w:rsidP="00841048">
      <w:pPr>
        <w:tabs>
          <w:tab w:val="left" w:pos="4320"/>
        </w:tabs>
        <w:ind w:right="170"/>
        <w:contextualSpacing/>
        <w:jc w:val="both"/>
        <w:rPr>
          <w:b/>
          <w:bCs/>
          <w:sz w:val="24"/>
          <w:szCs w:val="24"/>
        </w:rPr>
      </w:pPr>
    </w:p>
    <w:p w:rsidR="00841048" w:rsidRPr="00115D69" w:rsidRDefault="00841048" w:rsidP="00841048">
      <w:pPr>
        <w:tabs>
          <w:tab w:val="left" w:pos="4320"/>
        </w:tabs>
        <w:ind w:right="170"/>
        <w:contextualSpacing/>
        <w:jc w:val="right"/>
        <w:rPr>
          <w:rFonts w:ascii="Times New Roman" w:hAnsi="Times New Roman" w:cs="Times New Roman"/>
          <w:b/>
          <w:bCs/>
          <w:sz w:val="24"/>
          <w:szCs w:val="24"/>
        </w:rPr>
      </w:pPr>
      <w:r w:rsidRPr="00115D69">
        <w:rPr>
          <w:rFonts w:ascii="Times New Roman" w:hAnsi="Times New Roman" w:cs="Times New Roman"/>
          <w:b/>
          <w:bCs/>
          <w:sz w:val="24"/>
          <w:szCs w:val="24"/>
        </w:rPr>
        <w:t xml:space="preserve">Hoàng Minh Hiền*, Bùi Công Đức**, Chu Thị Thu Hà**, </w:t>
      </w:r>
    </w:p>
    <w:p w:rsidR="00841048" w:rsidRPr="00115D69" w:rsidRDefault="00841048" w:rsidP="00841048">
      <w:pPr>
        <w:tabs>
          <w:tab w:val="left" w:pos="4320"/>
        </w:tabs>
        <w:ind w:right="170"/>
        <w:contextualSpacing/>
        <w:jc w:val="right"/>
        <w:rPr>
          <w:rFonts w:ascii="Times New Roman" w:hAnsi="Times New Roman" w:cs="Times New Roman"/>
          <w:b/>
          <w:bCs/>
          <w:sz w:val="24"/>
          <w:szCs w:val="24"/>
        </w:rPr>
      </w:pPr>
      <w:r w:rsidRPr="00115D69">
        <w:rPr>
          <w:rFonts w:ascii="Times New Roman" w:hAnsi="Times New Roman" w:cs="Times New Roman"/>
          <w:b/>
          <w:bCs/>
          <w:sz w:val="24"/>
          <w:szCs w:val="24"/>
        </w:rPr>
        <w:t>Nguyễn Ngọc Tâm</w:t>
      </w:r>
      <w:r w:rsidRPr="00115D69">
        <w:rPr>
          <w:rFonts w:ascii="Times New Roman" w:hAnsi="Times New Roman" w:cs="Times New Roman"/>
          <w:b/>
          <w:sz w:val="24"/>
          <w:szCs w:val="24"/>
        </w:rPr>
        <w:t>***</w:t>
      </w:r>
      <w:r w:rsidRPr="00115D69">
        <w:rPr>
          <w:rFonts w:ascii="Times New Roman" w:hAnsi="Times New Roman" w:cs="Times New Roman"/>
          <w:b/>
          <w:bCs/>
          <w:sz w:val="24"/>
          <w:szCs w:val="24"/>
        </w:rPr>
        <w:t>, Vũ Thị Thanh Huyền</w:t>
      </w:r>
      <w:r w:rsidRPr="00115D69">
        <w:rPr>
          <w:rFonts w:ascii="Times New Roman" w:hAnsi="Times New Roman" w:cs="Times New Roman"/>
          <w:b/>
          <w:sz w:val="24"/>
          <w:szCs w:val="24"/>
        </w:rPr>
        <w:t>***</w:t>
      </w:r>
    </w:p>
    <w:p w:rsidR="00841048" w:rsidRDefault="00841048" w:rsidP="00841048">
      <w:pPr>
        <w:contextualSpacing/>
        <w:jc w:val="both"/>
        <w:rPr>
          <w:b/>
          <w:sz w:val="24"/>
          <w:szCs w:val="24"/>
        </w:rPr>
      </w:pPr>
    </w:p>
    <w:p w:rsidR="00841048" w:rsidRPr="00115D69" w:rsidRDefault="00841048" w:rsidP="00841048">
      <w:pPr>
        <w:contextualSpacing/>
        <w:jc w:val="both"/>
        <w:rPr>
          <w:rFonts w:ascii="Calibri" w:hAnsi="Calibri" w:cs="Calibri"/>
          <w:b/>
          <w:bCs/>
          <w:iCs/>
          <w:sz w:val="24"/>
          <w:szCs w:val="24"/>
        </w:rPr>
      </w:pPr>
      <w:r w:rsidRPr="00115D69">
        <w:rPr>
          <w:rFonts w:ascii="Calibri" w:hAnsi="Calibri" w:cs="Calibri"/>
          <w:b/>
          <w:bCs/>
          <w:iCs/>
          <w:sz w:val="24"/>
          <w:szCs w:val="24"/>
        </w:rPr>
        <w:t>TÓM TẮT</w:t>
      </w:r>
      <w:r w:rsidRPr="00115D69">
        <w:rPr>
          <w:rFonts w:ascii="Calibri" w:hAnsi="Calibri" w:cs="Calibri"/>
          <w:b/>
          <w:bCs/>
          <w:iCs/>
          <w:sz w:val="24"/>
          <w:szCs w:val="24"/>
          <w:vertAlign w:val="superscript"/>
        </w:rPr>
        <w:footnoteReference w:id="1"/>
      </w:r>
    </w:p>
    <w:p w:rsidR="00841048" w:rsidRPr="00115D69" w:rsidRDefault="00841048" w:rsidP="00841048">
      <w:pPr>
        <w:ind w:firstLine="360"/>
        <w:contextualSpacing/>
        <w:jc w:val="both"/>
        <w:rPr>
          <w:sz w:val="24"/>
          <w:szCs w:val="24"/>
        </w:rPr>
      </w:pPr>
      <w:r w:rsidRPr="00115D69">
        <w:rPr>
          <w:b/>
          <w:bCs/>
          <w:sz w:val="24"/>
          <w:szCs w:val="24"/>
        </w:rPr>
        <w:t>Mục tiêu:</w:t>
      </w:r>
      <w:r w:rsidRPr="00115D69">
        <w:rPr>
          <w:sz w:val="24"/>
          <w:szCs w:val="24"/>
        </w:rPr>
        <w:t xml:space="preserve"> Nghiên cứu nhằm xác định tỷ lệ tiền đái tháo đường, đái tháo đường mới phát hiện và mối liên quan với các yếu tố nguy cơ tại thành phố Hà Nội năm 2013. </w:t>
      </w:r>
      <w:r w:rsidRPr="00115D69">
        <w:rPr>
          <w:b/>
          <w:bCs/>
          <w:sz w:val="24"/>
          <w:szCs w:val="24"/>
        </w:rPr>
        <w:t>Đối tượng và phương  pháp nghiên cứu:</w:t>
      </w:r>
      <w:r w:rsidRPr="00115D69">
        <w:rPr>
          <w:sz w:val="24"/>
          <w:szCs w:val="24"/>
        </w:rPr>
        <w:t xml:space="preserve"> mô tả cắt ngang thực hiện trên 14.641 đối tượng. </w:t>
      </w:r>
      <w:r w:rsidRPr="00115D69">
        <w:rPr>
          <w:b/>
          <w:bCs/>
          <w:sz w:val="24"/>
          <w:szCs w:val="24"/>
          <w:bdr w:val="none" w:sz="0" w:space="0" w:color="auto" w:frame="1"/>
        </w:rPr>
        <w:t>Kết quả</w:t>
      </w:r>
      <w:r w:rsidRPr="00115D69">
        <w:rPr>
          <w:sz w:val="24"/>
          <w:szCs w:val="24"/>
          <w:bdr w:val="none" w:sz="0" w:space="0" w:color="auto" w:frame="1"/>
        </w:rPr>
        <w:t>:</w:t>
      </w:r>
      <w:r w:rsidRPr="00115D69">
        <w:rPr>
          <w:sz w:val="24"/>
          <w:szCs w:val="24"/>
        </w:rPr>
        <w:t xml:space="preserve"> tỷ lệ mắc đái tháo đường và tiền đái tháo đường là 3,9% và 7,9%. Các đối tượng có nguy cơ mắc đái tháo đường cao hơn bao gồm có tiền sử gia đình mắc đái tháo đường, tăng huyết áp, tăng vòng eo, tăng BMI, rối loạn lipid máu. Ở các đối tượng có yếu tố nguy cơ nói trên tỷ lệ mắc đái tháo đường tăng lên khoảng 2 lần. Tỷ lệ mắc đái tháo đường và tiền đái tháo đường ở nội thành cao hơn ngoại thành tương ứng là 4,4% so với 3,7% và 9,1% so với 7,3%. </w:t>
      </w:r>
      <w:r w:rsidRPr="00115D69">
        <w:rPr>
          <w:b/>
          <w:bCs/>
          <w:sz w:val="24"/>
          <w:szCs w:val="24"/>
        </w:rPr>
        <w:t>Kết luận:</w:t>
      </w:r>
      <w:r w:rsidRPr="00115D69">
        <w:rPr>
          <w:sz w:val="24"/>
          <w:szCs w:val="24"/>
        </w:rPr>
        <w:t xml:space="preserve"> Tỷ lệ đái tháo đường và tiền đái tháo đường của thành phố Hà Nội tương đối cao, nhất là các quận nội thành, cần có biện pháp sàng lọc chẩn đoán sớm để dự phòng và điều trị kịp thời.</w:t>
      </w:r>
    </w:p>
    <w:p w:rsidR="00841048" w:rsidRPr="00115D69" w:rsidRDefault="00841048" w:rsidP="00841048">
      <w:pPr>
        <w:ind w:firstLine="360"/>
        <w:contextualSpacing/>
        <w:jc w:val="both"/>
        <w:rPr>
          <w:sz w:val="24"/>
          <w:szCs w:val="24"/>
        </w:rPr>
      </w:pPr>
      <w:r w:rsidRPr="00115D69">
        <w:rPr>
          <w:b/>
          <w:bCs/>
          <w:i/>
          <w:iCs/>
          <w:sz w:val="24"/>
          <w:szCs w:val="24"/>
        </w:rPr>
        <w:t>Từ khóa</w:t>
      </w:r>
      <w:r w:rsidRPr="00115D69">
        <w:rPr>
          <w:sz w:val="24"/>
          <w:szCs w:val="24"/>
        </w:rPr>
        <w:t>: đái tháo đường, tiền đái tháo đường, sàng lọc</w:t>
      </w:r>
    </w:p>
    <w:p w:rsidR="00841048" w:rsidRPr="00115D69" w:rsidRDefault="00841048" w:rsidP="00841048">
      <w:pPr>
        <w:contextualSpacing/>
        <w:jc w:val="both"/>
        <w:rPr>
          <w:rFonts w:ascii="Calibri" w:hAnsi="Calibri" w:cs="Calibri"/>
          <w:b/>
          <w:bCs/>
          <w:sz w:val="24"/>
          <w:szCs w:val="24"/>
        </w:rPr>
      </w:pPr>
    </w:p>
    <w:p w:rsidR="00841048" w:rsidRPr="00115D69" w:rsidRDefault="00841048" w:rsidP="00841048">
      <w:pPr>
        <w:contextualSpacing/>
        <w:jc w:val="both"/>
        <w:rPr>
          <w:rFonts w:ascii="Calibri" w:hAnsi="Calibri" w:cs="Calibri"/>
          <w:b/>
          <w:bCs/>
          <w:sz w:val="24"/>
          <w:szCs w:val="24"/>
        </w:rPr>
      </w:pPr>
      <w:r w:rsidRPr="00115D69">
        <w:rPr>
          <w:rFonts w:ascii="Calibri" w:hAnsi="Calibri" w:cs="Calibri"/>
          <w:b/>
          <w:bCs/>
          <w:sz w:val="24"/>
          <w:szCs w:val="24"/>
        </w:rPr>
        <w:t>SUMMARY</w:t>
      </w:r>
    </w:p>
    <w:p w:rsidR="00841048" w:rsidRPr="00115D69" w:rsidRDefault="00841048" w:rsidP="00841048">
      <w:pPr>
        <w:contextualSpacing/>
        <w:jc w:val="center"/>
        <w:rPr>
          <w:b/>
          <w:bCs/>
          <w:sz w:val="24"/>
          <w:szCs w:val="24"/>
        </w:rPr>
      </w:pPr>
      <w:r w:rsidRPr="00115D69">
        <w:rPr>
          <w:b/>
          <w:bCs/>
          <w:sz w:val="24"/>
          <w:szCs w:val="24"/>
        </w:rPr>
        <w:t>PREVALENCE OF PRE-DIABETIC AND DIABETIC PATIENTS IN HANOI IN 2013</w:t>
      </w:r>
    </w:p>
    <w:p w:rsidR="00841048" w:rsidRPr="00115D69" w:rsidRDefault="00841048" w:rsidP="00841048">
      <w:pPr>
        <w:ind w:firstLine="360"/>
        <w:contextualSpacing/>
        <w:jc w:val="both"/>
        <w:rPr>
          <w:sz w:val="24"/>
          <w:szCs w:val="24"/>
        </w:rPr>
      </w:pPr>
      <w:r w:rsidRPr="00115D69">
        <w:rPr>
          <w:rFonts w:eastAsia="MS Song"/>
          <w:b/>
          <w:bCs/>
          <w:noProof/>
          <w:sz w:val="24"/>
          <w:szCs w:val="24"/>
        </w:rPr>
        <w:t xml:space="preserve">Objective: </w:t>
      </w:r>
      <w:r w:rsidRPr="00115D69">
        <w:rPr>
          <w:rFonts w:eastAsia="MS Song"/>
          <w:noProof/>
          <w:sz w:val="24"/>
          <w:szCs w:val="24"/>
        </w:rPr>
        <w:t>To</w:t>
      </w:r>
      <w:r w:rsidRPr="00115D69">
        <w:rPr>
          <w:rFonts w:eastAsia="MS Song"/>
          <w:b/>
          <w:bCs/>
          <w:noProof/>
          <w:sz w:val="24"/>
          <w:szCs w:val="24"/>
        </w:rPr>
        <w:t xml:space="preserve"> </w:t>
      </w:r>
      <w:r w:rsidRPr="00115D69">
        <w:rPr>
          <w:sz w:val="24"/>
          <w:szCs w:val="24"/>
        </w:rPr>
        <w:t xml:space="preserve">estimate the incidence of newly diagnosed pre-diabetes, diabetes and related risk factors in Hanoi 2014. </w:t>
      </w:r>
      <w:r w:rsidRPr="00115D69">
        <w:rPr>
          <w:rFonts w:eastAsia="MS Song"/>
          <w:b/>
          <w:bCs/>
          <w:noProof/>
          <w:sz w:val="24"/>
          <w:szCs w:val="24"/>
        </w:rPr>
        <w:t xml:space="preserve">Subjects and Methods: </w:t>
      </w:r>
      <w:r w:rsidRPr="00115D69">
        <w:rPr>
          <w:sz w:val="24"/>
          <w:szCs w:val="24"/>
        </w:rPr>
        <w:t xml:space="preserve">The descriptive cross-sectional study screened 14641 subjects. </w:t>
      </w:r>
      <w:r w:rsidRPr="00115D69">
        <w:rPr>
          <w:rFonts w:eastAsia="MS Song"/>
          <w:b/>
          <w:bCs/>
          <w:noProof/>
          <w:sz w:val="24"/>
          <w:szCs w:val="24"/>
        </w:rPr>
        <w:t>Results:</w:t>
      </w:r>
      <w:r w:rsidRPr="00115D69">
        <w:rPr>
          <w:sz w:val="24"/>
          <w:szCs w:val="24"/>
        </w:rPr>
        <w:t xml:space="preserve"> the incidence of diabetes and pre-diabetes was 3.9% and 7.9%. People with family history of diabetes, hypertension, large waist circumference, increased BMI were higher risk for type 2 diabetes. Their risk is increased about 2 folds. The prevalence of diabetes and prediabetes was higher in urban (4.4% and 9.1%) than those in rural (3.7% and 7.3%). </w:t>
      </w:r>
      <w:r w:rsidRPr="00115D69">
        <w:rPr>
          <w:b/>
          <w:bCs/>
          <w:sz w:val="24"/>
          <w:szCs w:val="24"/>
        </w:rPr>
        <w:t>Conclusion</w:t>
      </w:r>
      <w:r w:rsidRPr="00115D69">
        <w:rPr>
          <w:sz w:val="24"/>
          <w:szCs w:val="24"/>
        </w:rPr>
        <w:t xml:space="preserve">: the prevalence of diabetes and prediabetes is relatively high, especially in urban, we need to sceen early in population. </w:t>
      </w:r>
    </w:p>
    <w:p w:rsidR="00841048" w:rsidRPr="00115D69" w:rsidRDefault="00841048" w:rsidP="00841048">
      <w:pPr>
        <w:ind w:firstLine="360"/>
        <w:contextualSpacing/>
        <w:jc w:val="both"/>
        <w:rPr>
          <w:b/>
          <w:bCs/>
          <w:sz w:val="24"/>
          <w:szCs w:val="24"/>
        </w:rPr>
      </w:pPr>
      <w:r w:rsidRPr="00115D69">
        <w:rPr>
          <w:b/>
          <w:bCs/>
          <w:i/>
          <w:iCs/>
          <w:sz w:val="24"/>
          <w:szCs w:val="24"/>
        </w:rPr>
        <w:t>Keywords:</w:t>
      </w:r>
      <w:r w:rsidRPr="00115D69">
        <w:rPr>
          <w:b/>
          <w:bCs/>
          <w:sz w:val="24"/>
          <w:szCs w:val="24"/>
        </w:rPr>
        <w:t xml:space="preserve"> </w:t>
      </w:r>
      <w:r w:rsidRPr="00115D69">
        <w:rPr>
          <w:sz w:val="24"/>
          <w:szCs w:val="24"/>
        </w:rPr>
        <w:t>diabetes, pre-diabetes, screening</w:t>
      </w:r>
    </w:p>
    <w:p w:rsidR="008256DB" w:rsidRPr="00841048" w:rsidRDefault="008256DB" w:rsidP="00841048">
      <w:bookmarkStart w:id="0" w:name="_GoBack"/>
      <w:bookmarkEnd w:id="0"/>
    </w:p>
    <w:sectPr w:rsidR="008256DB" w:rsidRPr="00841048" w:rsidSect="00841048">
      <w:pgSz w:w="11906" w:h="16838"/>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351" w:rsidRDefault="009F3351" w:rsidP="00F43962">
      <w:r>
        <w:separator/>
      </w:r>
    </w:p>
  </w:endnote>
  <w:endnote w:type="continuationSeparator" w:id="0">
    <w:p w:rsidR="009F3351" w:rsidRDefault="009F3351" w:rsidP="00F4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ong">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351" w:rsidRDefault="009F3351" w:rsidP="00F43962">
      <w:r>
        <w:separator/>
      </w:r>
    </w:p>
  </w:footnote>
  <w:footnote w:type="continuationSeparator" w:id="0">
    <w:p w:rsidR="009F3351" w:rsidRDefault="009F3351" w:rsidP="00F43962">
      <w:r>
        <w:continuationSeparator/>
      </w:r>
    </w:p>
  </w:footnote>
  <w:footnote w:id="1">
    <w:p w:rsidR="00841048" w:rsidRDefault="00841048" w:rsidP="00841048">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16"/>
    <w:rsid w:val="00455D63"/>
    <w:rsid w:val="00550332"/>
    <w:rsid w:val="008256DB"/>
    <w:rsid w:val="00841048"/>
    <w:rsid w:val="009F3351"/>
    <w:rsid w:val="00B01816"/>
    <w:rsid w:val="00CC17D3"/>
    <w:rsid w:val="00EE4E40"/>
    <w:rsid w:val="00F43962"/>
    <w:rsid w:val="00FA04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6B5A8-65F5-4462-90FC-3BFE1DA7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62"/>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1"/>
    <w:uiPriority w:val="99"/>
    <w:semiHidden/>
    <w:rsid w:val="00F43962"/>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F43962"/>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F43962"/>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
    <w:semiHidden/>
    <w:rsid w:val="00F439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2015-08-17T09:01:00Z</dcterms:created>
  <dcterms:modified xsi:type="dcterms:W3CDTF">2015-12-30T09:02:00Z</dcterms:modified>
</cp:coreProperties>
</file>