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E98" w:rsidRPr="00863BB3" w:rsidRDefault="005E6E98" w:rsidP="005E6E98">
      <w:pPr>
        <w:jc w:val="center"/>
        <w:rPr>
          <w:rFonts w:ascii="Cambria" w:hAnsi="Cambria" w:cs="Tahoma"/>
          <w:b/>
          <w:sz w:val="28"/>
        </w:rPr>
      </w:pPr>
      <w:r w:rsidRPr="00863BB3">
        <w:rPr>
          <w:rFonts w:ascii="Cambria" w:hAnsi="Cambria" w:cs="Tahoma"/>
          <w:b/>
          <w:sz w:val="28"/>
        </w:rPr>
        <w:t>BƯỚC ĐẦU ĐÁNH GIÁ MỨC ĐỘ NẶNG VÀ ĐIỀU TRỊ SAU NHẬP VIỆN</w:t>
      </w:r>
    </w:p>
    <w:p w:rsidR="005E6E98" w:rsidRPr="00863BB3" w:rsidRDefault="005E6E98" w:rsidP="005E6E98">
      <w:pPr>
        <w:jc w:val="center"/>
        <w:rPr>
          <w:rFonts w:ascii="Cambria" w:hAnsi="Cambria" w:cs="Tahoma"/>
          <w:b/>
          <w:sz w:val="28"/>
        </w:rPr>
      </w:pPr>
      <w:r w:rsidRPr="00863BB3">
        <w:rPr>
          <w:rFonts w:ascii="Cambria" w:hAnsi="Cambria" w:cs="Tahoma"/>
          <w:b/>
          <w:sz w:val="28"/>
        </w:rPr>
        <w:t>Ở BỆNH NHÂN NGHIỆN RƯỢU MẮC VIÊM PHỔI CỘNG ĐỒNG</w:t>
      </w:r>
    </w:p>
    <w:p w:rsidR="005E6E98" w:rsidRDefault="005E6E98" w:rsidP="005E6E98">
      <w:pPr>
        <w:tabs>
          <w:tab w:val="left" w:pos="4320"/>
        </w:tabs>
        <w:ind w:right="170"/>
        <w:jc w:val="both"/>
        <w:rPr>
          <w:rFonts w:ascii="Tahoma" w:hAnsi="Tahoma" w:cs="Tahoma"/>
          <w:sz w:val="20"/>
        </w:rPr>
      </w:pPr>
    </w:p>
    <w:p w:rsidR="005E6E98" w:rsidRPr="00415776" w:rsidRDefault="005E6E98" w:rsidP="005E6E98">
      <w:pPr>
        <w:tabs>
          <w:tab w:val="left" w:pos="4320"/>
        </w:tabs>
        <w:ind w:right="170"/>
        <w:jc w:val="right"/>
        <w:rPr>
          <w:rFonts w:ascii="Times New Roman" w:hAnsi="Times New Roman"/>
          <w:b/>
        </w:rPr>
      </w:pPr>
      <w:r w:rsidRPr="00415776">
        <w:rPr>
          <w:rFonts w:ascii="Times New Roman" w:hAnsi="Times New Roman"/>
          <w:b/>
        </w:rPr>
        <w:t>Trần Thị Hương Giang</w:t>
      </w:r>
      <w:r w:rsidRPr="00415776">
        <w:rPr>
          <w:rFonts w:ascii="Times New Roman" w:hAnsi="Times New Roman"/>
          <w:b/>
          <w:bCs/>
          <w:iCs/>
          <w:vertAlign w:val="superscript"/>
        </w:rPr>
        <w:t>1</w:t>
      </w:r>
      <w:r w:rsidRPr="00415776">
        <w:rPr>
          <w:rFonts w:ascii="Times New Roman" w:hAnsi="Times New Roman"/>
          <w:b/>
        </w:rPr>
        <w:t>, Nguyễn Đạt Anh</w:t>
      </w:r>
      <w:r w:rsidRPr="00415776">
        <w:rPr>
          <w:rFonts w:ascii="Times New Roman" w:hAnsi="Times New Roman"/>
          <w:b/>
          <w:bCs/>
          <w:iCs/>
          <w:vertAlign w:val="superscript"/>
        </w:rPr>
        <w:t>2,3</w:t>
      </w:r>
      <w:r w:rsidRPr="00415776">
        <w:rPr>
          <w:rFonts w:ascii="Times New Roman" w:hAnsi="Times New Roman"/>
          <w:b/>
        </w:rPr>
        <w:t>, Hà Trần Hưng</w:t>
      </w:r>
      <w:r w:rsidRPr="00415776">
        <w:rPr>
          <w:rFonts w:ascii="Times New Roman" w:hAnsi="Times New Roman"/>
          <w:b/>
          <w:bCs/>
          <w:iCs/>
          <w:vertAlign w:val="superscript"/>
        </w:rPr>
        <w:t>2,3</w:t>
      </w:r>
      <w:r w:rsidRPr="00415776">
        <w:rPr>
          <w:rFonts w:ascii="Times New Roman" w:hAnsi="Times New Roman"/>
          <w:b/>
        </w:rPr>
        <w:t xml:space="preserve"> </w:t>
      </w:r>
    </w:p>
    <w:p w:rsidR="005E6E98" w:rsidRPr="00863BB3" w:rsidRDefault="005E6E98" w:rsidP="005E6E98">
      <w:pPr>
        <w:widowControl w:val="0"/>
        <w:ind w:right="144"/>
        <w:jc w:val="both"/>
        <w:rPr>
          <w:rFonts w:ascii="Calibri" w:hAnsi="Calibri" w:cs="Calibri"/>
          <w:b/>
        </w:rPr>
      </w:pPr>
      <w:r w:rsidRPr="00863BB3">
        <w:rPr>
          <w:rFonts w:ascii="Calibri" w:hAnsi="Calibri" w:cs="Calibri"/>
          <w:b/>
        </w:rPr>
        <w:t>TÓM TẮT</w:t>
      </w:r>
      <w:r w:rsidRPr="00863BB3">
        <w:rPr>
          <w:rStyle w:val="FootnoteReference"/>
          <w:rFonts w:ascii="Calibri" w:hAnsi="Calibri" w:cs="Calibri"/>
          <w:b/>
          <w:sz w:val="2"/>
          <w:szCs w:val="2"/>
        </w:rPr>
        <w:footnoteReference w:id="1"/>
      </w:r>
    </w:p>
    <w:p w:rsidR="005E6E98" w:rsidRPr="00333FD5" w:rsidRDefault="005E6E98" w:rsidP="005E6E98">
      <w:pPr>
        <w:tabs>
          <w:tab w:val="left" w:pos="2820"/>
        </w:tabs>
        <w:ind w:firstLine="360"/>
        <w:jc w:val="both"/>
        <w:rPr>
          <w:rFonts w:ascii="Tahoma" w:hAnsi="Tahoma" w:cs="Tahoma"/>
          <w:sz w:val="18"/>
        </w:rPr>
      </w:pPr>
      <w:r w:rsidRPr="00333FD5">
        <w:rPr>
          <w:rFonts w:ascii="Tahoma" w:hAnsi="Tahoma" w:cs="Tahoma"/>
          <w:b/>
          <w:sz w:val="18"/>
        </w:rPr>
        <w:t>Mục tiêu:</w:t>
      </w:r>
      <w:r w:rsidRPr="00333FD5">
        <w:rPr>
          <w:rFonts w:ascii="Tahoma" w:hAnsi="Tahoma" w:cs="Tahoma"/>
          <w:sz w:val="18"/>
        </w:rPr>
        <w:t xml:space="preserve"> Đánh giá mức độ nặng và điều trị sau khi nhập viện ở bệnh nhân nghiện rượu mắc viêm phổi cộng đồng. </w:t>
      </w:r>
      <w:r w:rsidRPr="00333FD5">
        <w:rPr>
          <w:rFonts w:ascii="Tahoma" w:hAnsi="Tahoma" w:cs="Tahoma"/>
          <w:b/>
          <w:sz w:val="18"/>
        </w:rPr>
        <w:t xml:space="preserve">Đối tượng và phương pháp nghiên cứu: </w:t>
      </w:r>
      <w:r w:rsidRPr="00333FD5">
        <w:rPr>
          <w:rFonts w:ascii="Tahoma" w:hAnsi="Tahoma" w:cs="Tahoma"/>
          <w:sz w:val="18"/>
        </w:rPr>
        <w:t xml:space="preserve">Nghiên cứu mô tả hồi cứu trên 36 bệnh nhân nghiện rượu mắc viêm phổi cộng đồng (theo tiêu chuẩn chẩn đoán ICD.10) được chẩn đoán xác định viêm phổi cộng đồng. </w:t>
      </w:r>
      <w:r w:rsidRPr="00333FD5">
        <w:rPr>
          <w:rFonts w:ascii="Tahoma" w:hAnsi="Tahoma" w:cs="Tahoma"/>
          <w:b/>
          <w:sz w:val="18"/>
        </w:rPr>
        <w:t>Kết quả</w:t>
      </w:r>
      <w:r w:rsidRPr="00333FD5">
        <w:rPr>
          <w:rFonts w:ascii="Tahoma" w:hAnsi="Tahoma" w:cs="Tahoma"/>
          <w:sz w:val="18"/>
        </w:rPr>
        <w:t xml:space="preserve">: Trong tổng số 36 bệnh nhân nghiện rượu bị viêm phổi cộng đồng có 36 nam, tuổi trung bình của là 48,3 ± 9,2, thời gian uống rượu trung bình là 13,6 ± 6,2 năm, lượng rượu uống hàng ngày ở mức dưới 1L/ngày. Tỷ lệ tử vong là 64%, tỷ lệ sống là 36%. Thời gian nằm viện trung bình ở nhóm sống và nhóm tử vong là 10 và 2 ngày (p&lt;0,001). Tất cả bệnh nhân đều được điều trị kháng sinh mạnh, phổ rộng ngay từ đầu. Thông khí nhân tạo được chỉ định cho nhóm sống và nhóm tử vong là 62% và 100%. Tại thời điểm vào viện có 55,5% được chẩn đoán sốc nhiễm khuẩn. 33% bệnh nhân có biến chứng tràn dịch màng phổi. 100% bệnh nhân là viêm phổi nặng, điểm APACHE II sau 24 giờ là 20,17 ± 4,3. </w:t>
      </w:r>
      <w:r w:rsidRPr="00333FD5">
        <w:rPr>
          <w:rFonts w:ascii="Tahoma" w:hAnsi="Tahoma" w:cs="Tahoma"/>
          <w:b/>
          <w:sz w:val="18"/>
        </w:rPr>
        <w:t xml:space="preserve">Kết luận: </w:t>
      </w:r>
      <w:r w:rsidRPr="00333FD5">
        <w:rPr>
          <w:rFonts w:ascii="Tahoma" w:hAnsi="Tahoma" w:cs="Tahoma"/>
          <w:sz w:val="18"/>
        </w:rPr>
        <w:t xml:space="preserve">viêm phổi cộng đồng ở bệnh nhân nghiện rượu thường nặng, có tỷ lệ biến chứng sốc nhiễm khuẩn và tỷ lệ tử vong cao dù được điều trị tích cực. </w:t>
      </w:r>
    </w:p>
    <w:p w:rsidR="005E6E98" w:rsidRPr="00333FD5" w:rsidRDefault="005E6E98" w:rsidP="005E6E98">
      <w:pPr>
        <w:ind w:firstLine="360"/>
        <w:jc w:val="both"/>
        <w:rPr>
          <w:rFonts w:ascii="Tahoma" w:hAnsi="Tahoma" w:cs="Tahoma"/>
          <w:b/>
          <w:sz w:val="18"/>
        </w:rPr>
      </w:pPr>
      <w:r w:rsidRPr="00333FD5">
        <w:rPr>
          <w:rFonts w:ascii="Tahoma" w:hAnsi="Tahoma" w:cs="Tahoma"/>
          <w:b/>
          <w:i/>
          <w:sz w:val="18"/>
        </w:rPr>
        <w:t>Từ khóa:</w:t>
      </w:r>
      <w:r w:rsidRPr="00333FD5">
        <w:rPr>
          <w:rFonts w:ascii="Tahoma" w:hAnsi="Tahoma" w:cs="Tahoma"/>
          <w:b/>
          <w:sz w:val="18"/>
        </w:rPr>
        <w:t xml:space="preserve"> </w:t>
      </w:r>
      <w:r w:rsidRPr="00333FD5">
        <w:rPr>
          <w:rFonts w:ascii="Tahoma" w:hAnsi="Tahoma" w:cs="Tahoma"/>
          <w:sz w:val="18"/>
        </w:rPr>
        <w:t>nghiện rượu, viêm phổi cộng đồng, độ nặng, điều trị</w:t>
      </w:r>
    </w:p>
    <w:p w:rsidR="005E6E98" w:rsidRDefault="005E6E98" w:rsidP="005E6E98">
      <w:pPr>
        <w:jc w:val="both"/>
        <w:rPr>
          <w:rFonts w:ascii="Tahoma" w:hAnsi="Tahoma" w:cs="Tahoma"/>
          <w:b/>
          <w:sz w:val="20"/>
        </w:rPr>
      </w:pPr>
    </w:p>
    <w:p w:rsidR="005E6E98" w:rsidRPr="00863BB3" w:rsidRDefault="005E6E98" w:rsidP="005E6E98">
      <w:pPr>
        <w:jc w:val="both"/>
        <w:rPr>
          <w:rFonts w:ascii="Calibri" w:hAnsi="Calibri" w:cs="Calibri"/>
          <w:b/>
        </w:rPr>
      </w:pPr>
      <w:r w:rsidRPr="00863BB3">
        <w:rPr>
          <w:rFonts w:ascii="Calibri" w:hAnsi="Calibri" w:cs="Calibri"/>
          <w:b/>
        </w:rPr>
        <w:t>SUMMARY</w:t>
      </w:r>
    </w:p>
    <w:p w:rsidR="005E6E98" w:rsidRPr="009B1CBB" w:rsidRDefault="005E6E98" w:rsidP="005E6E98">
      <w:pPr>
        <w:jc w:val="center"/>
        <w:rPr>
          <w:rFonts w:ascii="Tahoma" w:hAnsi="Tahoma" w:cs="Tahoma"/>
          <w:b/>
          <w:sz w:val="20"/>
        </w:rPr>
      </w:pPr>
      <w:r w:rsidRPr="009B1CBB">
        <w:rPr>
          <w:rFonts w:ascii="Tahoma" w:hAnsi="Tahoma" w:cs="Tahoma"/>
          <w:b/>
          <w:sz w:val="20"/>
        </w:rPr>
        <w:t>SEVERITY AND TREATMENT OF ALCOHOLISM PATIENTS WITH COMMUNITY ACQUIRED PNEUMONIA</w:t>
      </w:r>
    </w:p>
    <w:p w:rsidR="005E6E98" w:rsidRPr="00333FD5" w:rsidRDefault="005E6E98" w:rsidP="005E6E98">
      <w:pPr>
        <w:ind w:firstLine="360"/>
        <w:jc w:val="both"/>
        <w:rPr>
          <w:rFonts w:ascii="Tahoma" w:hAnsi="Tahoma" w:cs="Tahoma"/>
          <w:b/>
          <w:sz w:val="18"/>
        </w:rPr>
      </w:pPr>
      <w:r w:rsidRPr="00333FD5">
        <w:rPr>
          <w:rFonts w:ascii="Tahoma" w:hAnsi="Tahoma" w:cs="Tahoma"/>
          <w:b/>
          <w:sz w:val="18"/>
        </w:rPr>
        <w:t>Objective: to e</w:t>
      </w:r>
      <w:r w:rsidRPr="00333FD5">
        <w:rPr>
          <w:rFonts w:ascii="Tahoma" w:hAnsi="Tahoma" w:cs="Tahoma"/>
          <w:sz w:val="18"/>
        </w:rPr>
        <w:t xml:space="preserve">valuate the severity and the inhospital treatment of alcoholism patients with community acquired pneumonia. </w:t>
      </w:r>
      <w:r w:rsidRPr="00333FD5">
        <w:rPr>
          <w:rFonts w:ascii="Tahoma" w:hAnsi="Tahoma" w:cs="Tahoma"/>
          <w:b/>
          <w:sz w:val="18"/>
        </w:rPr>
        <w:t>Subjects and Methods:</w:t>
      </w:r>
      <w:r w:rsidRPr="00333FD5">
        <w:rPr>
          <w:rFonts w:ascii="Tahoma" w:hAnsi="Tahoma" w:cs="Tahoma"/>
          <w:sz w:val="18"/>
        </w:rPr>
        <w:t xml:space="preserve"> A retrospective observational study recruited 36 patients with community acquired pneumonia (diagnosed alcohol dependence according to ICD.10).</w:t>
      </w:r>
      <w:r w:rsidRPr="00333FD5">
        <w:rPr>
          <w:rFonts w:ascii="Tahoma" w:hAnsi="Tahoma" w:cs="Tahoma"/>
          <w:b/>
          <w:sz w:val="18"/>
        </w:rPr>
        <w:t xml:space="preserve"> Results: </w:t>
      </w:r>
      <w:r w:rsidRPr="00333FD5">
        <w:rPr>
          <w:rFonts w:ascii="Tahoma" w:hAnsi="Tahoma" w:cs="Tahoma"/>
          <w:sz w:val="18"/>
        </w:rPr>
        <w:t>All of the 36 patients were male, mean age was 48.3 ± 9.2 years, daily alcohol consumption less than 1L/day. Mortality was 64%, the survival rate was 36%. The average length of hospital stay in the survival group and fatal group respectively were 10 and 2 days (p &lt;0.001). All patients received broad spectrum empiric antibiotic therapy on admission. Artificial ventilation was indicated in 62% of the patients in survival group and in 100% in the fatal group. 55.5% of patients were septic shock on admission. 33% of patients had uncomplicated pleural effusion. 100% of patients were severe pneumonia with APACHE II score of 20.17 ± 4.3 after 24 hours.</w:t>
      </w:r>
      <w:r w:rsidRPr="00333FD5">
        <w:rPr>
          <w:rFonts w:ascii="Tahoma" w:hAnsi="Tahoma" w:cs="Tahoma"/>
          <w:b/>
          <w:sz w:val="18"/>
        </w:rPr>
        <w:t xml:space="preserve"> Conclusions: </w:t>
      </w:r>
      <w:r w:rsidRPr="00333FD5">
        <w:rPr>
          <w:rFonts w:ascii="Tahoma" w:hAnsi="Tahoma" w:cs="Tahoma"/>
          <w:sz w:val="18"/>
        </w:rPr>
        <w:t>Community acquired pneumonia in alcoholic patients were severe, with high rate of septic shock and high mortality despite ahresive treatment.</w:t>
      </w:r>
    </w:p>
    <w:p w:rsidR="007C6360" w:rsidRPr="005E6E98" w:rsidRDefault="005E6E98" w:rsidP="005E6E98">
      <w:r w:rsidRPr="00333FD5">
        <w:rPr>
          <w:rFonts w:ascii="Tahoma" w:hAnsi="Tahoma" w:cs="Tahoma"/>
          <w:b/>
          <w:i/>
          <w:sz w:val="18"/>
        </w:rPr>
        <w:t>Keywords:</w:t>
      </w:r>
      <w:r w:rsidRPr="00333FD5">
        <w:rPr>
          <w:rFonts w:ascii="Tahoma" w:hAnsi="Tahoma" w:cs="Tahoma"/>
          <w:b/>
          <w:sz w:val="18"/>
        </w:rPr>
        <w:t xml:space="preserve"> </w:t>
      </w:r>
      <w:r w:rsidRPr="00333FD5">
        <w:rPr>
          <w:rFonts w:ascii="Tahoma" w:hAnsi="Tahoma" w:cs="Tahoma"/>
          <w:sz w:val="18"/>
        </w:rPr>
        <w:t>alcoholism, community acquired pneumonia, severity, treatment.</w:t>
      </w:r>
    </w:p>
    <w:sectPr w:rsidR="007C6360" w:rsidRPr="005E6E9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4FD" w:rsidRDefault="000734FD" w:rsidP="00CB69C0">
      <w:r>
        <w:separator/>
      </w:r>
    </w:p>
  </w:endnote>
  <w:endnote w:type="continuationSeparator" w:id="0">
    <w:p w:rsidR="000734FD" w:rsidRDefault="000734FD" w:rsidP="00C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4FD" w:rsidRDefault="000734FD" w:rsidP="00CB69C0">
      <w:r>
        <w:separator/>
      </w:r>
    </w:p>
  </w:footnote>
  <w:footnote w:type="continuationSeparator" w:id="0">
    <w:p w:rsidR="000734FD" w:rsidRDefault="000734FD" w:rsidP="00CB69C0">
      <w:r>
        <w:continuationSeparator/>
      </w:r>
    </w:p>
  </w:footnote>
  <w:footnote w:id="1">
    <w:p w:rsidR="005E6E98" w:rsidRDefault="005E6E98" w:rsidP="005E6E98">
      <w:pPr>
        <w:contextualSpacing/>
      </w:pPr>
      <w:bookmarkStart w:id="0" w:name="_GoBack"/>
      <w:bookmarkEnd w:id="0"/>
      <w:r w:rsidRPr="00415776">
        <w:rPr>
          <w:rFonts w:ascii="Tahoma" w:hAnsi="Tahoma" w:cs="Tahoma"/>
          <w:sz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34"/>
    <w:rsid w:val="000734FD"/>
    <w:rsid w:val="005E6E98"/>
    <w:rsid w:val="007C6360"/>
    <w:rsid w:val="00A32B15"/>
    <w:rsid w:val="00B01D99"/>
    <w:rsid w:val="00C94401"/>
    <w:rsid w:val="00CB69C0"/>
    <w:rsid w:val="00EE3F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187B3-CF78-4CC2-A395-040FF025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C0"/>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B69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2015-06-04T08:50:00Z</dcterms:created>
  <dcterms:modified xsi:type="dcterms:W3CDTF">2015-06-05T07:53:00Z</dcterms:modified>
</cp:coreProperties>
</file>