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C5" w:rsidRDefault="007248C5" w:rsidP="007248C5">
      <w:pPr>
        <w:contextualSpacing/>
        <w:jc w:val="center"/>
        <w:rPr>
          <w:rFonts w:ascii="Cambria" w:hAnsi="Cambria" w:cs="Tahoma"/>
          <w:b/>
          <w:color w:val="000000"/>
          <w:sz w:val="28"/>
        </w:rPr>
      </w:pPr>
      <w:r w:rsidRPr="00334A68">
        <w:rPr>
          <w:rFonts w:ascii="Cambria" w:hAnsi="Cambria" w:cs="Tahoma"/>
          <w:b/>
          <w:color w:val="000000"/>
          <w:sz w:val="28"/>
        </w:rPr>
        <w:t>ĐẶC ĐIỂM TUỶ XƯƠNG Ở BỆNH NHÂN</w:t>
      </w:r>
    </w:p>
    <w:p w:rsidR="007248C5" w:rsidRPr="00334A68" w:rsidRDefault="007248C5" w:rsidP="007248C5">
      <w:pPr>
        <w:contextualSpacing/>
        <w:jc w:val="center"/>
        <w:rPr>
          <w:rFonts w:ascii="Cambria" w:hAnsi="Cambria" w:cs="Tahoma"/>
          <w:b/>
          <w:color w:val="000000"/>
          <w:sz w:val="28"/>
        </w:rPr>
      </w:pPr>
      <w:r w:rsidRPr="00334A68">
        <w:rPr>
          <w:rFonts w:ascii="Cambria" w:hAnsi="Cambria" w:cs="Tahoma"/>
          <w:b/>
          <w:color w:val="000000"/>
          <w:sz w:val="28"/>
        </w:rPr>
        <w:t>CHẬM LIỀN XƯƠNG, KHỚP GIẢ THÂN XƯƠNG DÀI</w:t>
      </w:r>
    </w:p>
    <w:p w:rsidR="007248C5" w:rsidRDefault="007248C5" w:rsidP="007248C5">
      <w:pPr>
        <w:contextualSpacing/>
        <w:jc w:val="both"/>
        <w:rPr>
          <w:rFonts w:cs="Tahoma"/>
          <w:b/>
          <w:color w:val="000000"/>
        </w:rPr>
      </w:pPr>
    </w:p>
    <w:p w:rsidR="007248C5" w:rsidRPr="00F04B09" w:rsidRDefault="007248C5" w:rsidP="007248C5">
      <w:pPr>
        <w:contextualSpacing/>
        <w:jc w:val="right"/>
        <w:rPr>
          <w:rFonts w:ascii="Times New Roman" w:hAnsi="Times New Roman"/>
          <w:b/>
          <w:color w:val="000000"/>
          <w:szCs w:val="24"/>
          <w:lang w:val="vi-VN"/>
        </w:rPr>
      </w:pPr>
      <w:r w:rsidRPr="00F04B09">
        <w:rPr>
          <w:rFonts w:ascii="Times New Roman" w:hAnsi="Times New Roman"/>
          <w:b/>
          <w:color w:val="000000"/>
          <w:szCs w:val="24"/>
        </w:rPr>
        <w:t>Nguyễn Mạnh Khánh*</w:t>
      </w:r>
    </w:p>
    <w:p w:rsidR="007248C5" w:rsidRPr="007248C5" w:rsidRDefault="007248C5" w:rsidP="007248C5">
      <w:pPr>
        <w:contextualSpacing/>
        <w:jc w:val="both"/>
        <w:rPr>
          <w:rFonts w:ascii="Times New Roman" w:hAnsi="Times New Roman"/>
          <w:b/>
          <w:color w:val="000000"/>
          <w:szCs w:val="24"/>
        </w:rPr>
      </w:pPr>
      <w:r w:rsidRPr="007248C5">
        <w:rPr>
          <w:rFonts w:ascii="Times New Roman" w:hAnsi="Times New Roman"/>
          <w:b/>
          <w:color w:val="000000"/>
          <w:szCs w:val="24"/>
        </w:rPr>
        <w:t>TÓM TẮT</w:t>
      </w:r>
      <w:r w:rsidRPr="007248C5">
        <w:rPr>
          <w:rStyle w:val="FootnoteReference"/>
          <w:rFonts w:ascii="Times New Roman" w:hAnsi="Times New Roman"/>
          <w:b/>
          <w:color w:val="000000"/>
          <w:szCs w:val="24"/>
        </w:rPr>
        <w:footnoteReference w:id="1"/>
      </w:r>
    </w:p>
    <w:p w:rsidR="007248C5" w:rsidRPr="007248C5" w:rsidRDefault="007248C5" w:rsidP="007248C5">
      <w:pPr>
        <w:ind w:firstLine="360"/>
        <w:contextualSpacing/>
        <w:jc w:val="both"/>
        <w:rPr>
          <w:rFonts w:ascii="Times New Roman" w:hAnsi="Times New Roman"/>
          <w:b/>
          <w:color w:val="000000"/>
          <w:szCs w:val="24"/>
        </w:rPr>
      </w:pPr>
      <w:r w:rsidRPr="007248C5">
        <w:rPr>
          <w:rFonts w:ascii="Times New Roman" w:hAnsi="Times New Roman"/>
          <w:color w:val="000000"/>
          <w:szCs w:val="24"/>
        </w:rPr>
        <w:t xml:space="preserve">Từ tháng 9/2006, tại Viện Chấn thương Chỉnh hình- BV Việt Đức và Khoa Huyết học- BV TƯQĐ 108, 92 bệnh nhân chậm liền xương, khớp giả thân xương dài được ghép tế bào gốc tuỷ xương tự thân (TBGTX) và phân tích đặc điểm TB tuỷ xương và TB CD34(+), kết quả cho thấy:  </w:t>
      </w:r>
    </w:p>
    <w:p w:rsidR="007248C5" w:rsidRPr="007248C5" w:rsidRDefault="007248C5" w:rsidP="007248C5">
      <w:pPr>
        <w:contextualSpacing/>
        <w:jc w:val="both"/>
        <w:rPr>
          <w:rFonts w:ascii="Times New Roman" w:hAnsi="Times New Roman"/>
          <w:color w:val="000000"/>
          <w:szCs w:val="24"/>
        </w:rPr>
      </w:pPr>
      <w:r w:rsidRPr="007248C5">
        <w:rPr>
          <w:rFonts w:ascii="Times New Roman" w:hAnsi="Times New Roman"/>
          <w:color w:val="000000"/>
          <w:szCs w:val="24"/>
        </w:rPr>
        <w:t>- Số lượng TB có nhân tuỷ xương là 54,1 ± 23,9 G/L nằm trong giới hạn bình thường. Số lượng TB CD34(+) là 0,36 ± 0,22 G/L thấp hơn so với người bình thường.</w:t>
      </w:r>
    </w:p>
    <w:p w:rsidR="007248C5" w:rsidRPr="007248C5" w:rsidRDefault="007248C5" w:rsidP="007248C5">
      <w:pPr>
        <w:contextualSpacing/>
        <w:jc w:val="both"/>
        <w:rPr>
          <w:rFonts w:ascii="Times New Roman" w:hAnsi="Times New Roman"/>
          <w:color w:val="000000"/>
          <w:szCs w:val="24"/>
        </w:rPr>
      </w:pPr>
      <w:r w:rsidRPr="007248C5">
        <w:rPr>
          <w:rFonts w:ascii="Times New Roman" w:hAnsi="Times New Roman"/>
          <w:color w:val="000000"/>
          <w:szCs w:val="24"/>
        </w:rPr>
        <w:t xml:space="preserve">- Số lượng TB có nhân tuỷ xương thấy giảm dần theo tuổi bệnh nhân. </w:t>
      </w:r>
    </w:p>
    <w:p w:rsidR="007248C5" w:rsidRPr="007248C5" w:rsidRDefault="007248C5" w:rsidP="007248C5">
      <w:pPr>
        <w:contextualSpacing/>
        <w:jc w:val="both"/>
        <w:rPr>
          <w:rFonts w:ascii="Times New Roman" w:hAnsi="Times New Roman"/>
          <w:color w:val="000000"/>
          <w:szCs w:val="24"/>
        </w:rPr>
      </w:pPr>
      <w:r w:rsidRPr="007248C5">
        <w:rPr>
          <w:rFonts w:ascii="Times New Roman" w:hAnsi="Times New Roman"/>
          <w:color w:val="000000"/>
          <w:szCs w:val="24"/>
        </w:rPr>
        <w:t>- Số lượng TB tuỷ xương và TB CD34(+) khác biệt có ý nghĩa thống kê giữa các bệnh nhân có và không có tiền sử nhiễm trùng.</w:t>
      </w:r>
    </w:p>
    <w:p w:rsidR="007248C5" w:rsidRPr="007248C5" w:rsidRDefault="007248C5" w:rsidP="007248C5">
      <w:pPr>
        <w:contextualSpacing/>
        <w:jc w:val="both"/>
        <w:rPr>
          <w:rFonts w:ascii="Times New Roman" w:hAnsi="Times New Roman"/>
          <w:color w:val="000000"/>
          <w:szCs w:val="24"/>
        </w:rPr>
      </w:pPr>
      <w:r w:rsidRPr="007248C5">
        <w:rPr>
          <w:rFonts w:ascii="Times New Roman" w:hAnsi="Times New Roman"/>
          <w:color w:val="000000"/>
          <w:szCs w:val="24"/>
        </w:rPr>
        <w:t>- Không có mối liên quan giữa số lượng TB tuỷ xương, TB CD34(+) với loại gãy (kín, hở), phẫu thuật, thương tổn phối hợp, hút thuốc lá, loại khớp giả (phì đại, teo đét) và thời điểm lấy tuỷ xương.</w:t>
      </w:r>
    </w:p>
    <w:p w:rsidR="007248C5" w:rsidRPr="007248C5" w:rsidRDefault="007248C5" w:rsidP="007248C5">
      <w:pPr>
        <w:ind w:firstLine="360"/>
        <w:contextualSpacing/>
        <w:jc w:val="both"/>
        <w:rPr>
          <w:rFonts w:ascii="Times New Roman" w:hAnsi="Times New Roman"/>
          <w:color w:val="000000"/>
          <w:szCs w:val="24"/>
          <w:lang w:val="vi-VN"/>
        </w:rPr>
      </w:pPr>
      <w:r w:rsidRPr="007248C5">
        <w:rPr>
          <w:rFonts w:ascii="Times New Roman" w:hAnsi="Times New Roman"/>
          <w:b/>
          <w:i/>
          <w:color w:val="000000"/>
          <w:szCs w:val="24"/>
        </w:rPr>
        <w:t>Từ khoá:</w:t>
      </w:r>
      <w:r w:rsidRPr="007248C5">
        <w:rPr>
          <w:rFonts w:ascii="Times New Roman" w:hAnsi="Times New Roman"/>
          <w:color w:val="000000"/>
          <w:szCs w:val="24"/>
        </w:rPr>
        <w:t xml:space="preserve"> chậm liền xương, khớp giả, tế bào CD34(+), tuỷ xương.</w:t>
      </w:r>
    </w:p>
    <w:p w:rsidR="007248C5" w:rsidRPr="007248C5" w:rsidRDefault="007248C5" w:rsidP="007248C5">
      <w:pPr>
        <w:contextualSpacing/>
        <w:jc w:val="both"/>
        <w:rPr>
          <w:rFonts w:ascii="Times New Roman" w:hAnsi="Times New Roman"/>
          <w:color w:val="000000"/>
          <w:szCs w:val="24"/>
          <w:lang w:val="vi-VN"/>
        </w:rPr>
      </w:pPr>
    </w:p>
    <w:p w:rsidR="007248C5" w:rsidRPr="007248C5" w:rsidRDefault="007248C5" w:rsidP="007248C5">
      <w:pPr>
        <w:contextualSpacing/>
        <w:jc w:val="both"/>
        <w:rPr>
          <w:rFonts w:ascii="Times New Roman" w:hAnsi="Times New Roman"/>
          <w:b/>
          <w:color w:val="000000"/>
          <w:szCs w:val="24"/>
          <w:lang w:val="vi-VN"/>
        </w:rPr>
      </w:pPr>
      <w:r w:rsidRPr="007248C5">
        <w:rPr>
          <w:rFonts w:ascii="Times New Roman" w:hAnsi="Times New Roman"/>
          <w:b/>
          <w:color w:val="000000"/>
          <w:szCs w:val="24"/>
        </w:rPr>
        <w:t>SUMMARY</w:t>
      </w:r>
    </w:p>
    <w:p w:rsidR="007248C5" w:rsidRPr="007248C5" w:rsidRDefault="007248C5" w:rsidP="007248C5">
      <w:pPr>
        <w:contextualSpacing/>
        <w:jc w:val="center"/>
        <w:rPr>
          <w:rFonts w:ascii="Times New Roman" w:hAnsi="Times New Roman"/>
          <w:b/>
          <w:color w:val="000000"/>
          <w:szCs w:val="24"/>
        </w:rPr>
      </w:pPr>
      <w:r w:rsidRPr="007248C5">
        <w:rPr>
          <w:rFonts w:ascii="Times New Roman" w:hAnsi="Times New Roman"/>
          <w:b/>
          <w:color w:val="000000"/>
          <w:szCs w:val="24"/>
        </w:rPr>
        <w:t>CHARACTERISTICS OF BONE MARROW AT PATIENTS WITH LONG BONE DELAYED UNIONS AND NONUNIONS</w:t>
      </w:r>
    </w:p>
    <w:p w:rsidR="007248C5" w:rsidRPr="007248C5" w:rsidRDefault="007248C5" w:rsidP="007248C5">
      <w:pPr>
        <w:spacing w:line="200" w:lineRule="exact"/>
        <w:ind w:firstLine="360"/>
        <w:contextualSpacing/>
        <w:jc w:val="both"/>
        <w:rPr>
          <w:rFonts w:ascii="Times New Roman" w:hAnsi="Times New Roman"/>
          <w:color w:val="000000"/>
          <w:szCs w:val="24"/>
          <w:lang w:val="vi-VN"/>
        </w:rPr>
      </w:pPr>
      <w:r w:rsidRPr="007248C5">
        <w:rPr>
          <w:rFonts w:ascii="Times New Roman" w:hAnsi="Times New Roman"/>
          <w:color w:val="000000"/>
          <w:szCs w:val="24"/>
        </w:rPr>
        <w:t>From September 2006, 92 patients with long bone delayed unions and nonunions were treated with percutaneous autologous bone marrow derived stem cells grafting and analyzed by myelogram and numering CD34(+) cells in Orthopaedic-Traumatology Department- VietDuc Hospital and Hematololy Department- 108 Hospital. The results showed that:</w:t>
      </w:r>
    </w:p>
    <w:p w:rsidR="007248C5" w:rsidRPr="007248C5" w:rsidRDefault="007248C5" w:rsidP="007248C5">
      <w:pPr>
        <w:spacing w:line="200" w:lineRule="exact"/>
        <w:contextualSpacing/>
        <w:jc w:val="both"/>
        <w:rPr>
          <w:rFonts w:ascii="Times New Roman" w:hAnsi="Times New Roman"/>
          <w:color w:val="000000"/>
          <w:szCs w:val="24"/>
        </w:rPr>
      </w:pPr>
      <w:r w:rsidRPr="007248C5">
        <w:rPr>
          <w:rFonts w:ascii="Times New Roman" w:hAnsi="Times New Roman"/>
          <w:color w:val="000000"/>
          <w:szCs w:val="24"/>
        </w:rPr>
        <w:t>- The mean number of nucleated cells in bone marrow was 54,1 ± 23,9 G/L, as similar as those of normal individuals. The mean number of CD34(+) cells in bone marrow was 0,36 ± 0,22 G/L, lower than normal individuals.</w:t>
      </w:r>
    </w:p>
    <w:p w:rsidR="007248C5" w:rsidRPr="007248C5" w:rsidRDefault="007248C5" w:rsidP="007248C5">
      <w:pPr>
        <w:spacing w:line="200" w:lineRule="exact"/>
        <w:contextualSpacing/>
        <w:jc w:val="both"/>
        <w:rPr>
          <w:rFonts w:ascii="Times New Roman" w:hAnsi="Times New Roman"/>
          <w:color w:val="000000"/>
          <w:szCs w:val="24"/>
        </w:rPr>
      </w:pPr>
      <w:r w:rsidRPr="007248C5">
        <w:rPr>
          <w:rFonts w:ascii="Times New Roman" w:hAnsi="Times New Roman"/>
          <w:color w:val="000000"/>
          <w:szCs w:val="24"/>
        </w:rPr>
        <w:t>-  The mean number of nucleated cells was decreased significantly with age.</w:t>
      </w:r>
    </w:p>
    <w:p w:rsidR="007248C5" w:rsidRPr="007248C5" w:rsidRDefault="007248C5" w:rsidP="007248C5">
      <w:pPr>
        <w:spacing w:line="200" w:lineRule="exact"/>
        <w:contextualSpacing/>
        <w:jc w:val="both"/>
        <w:rPr>
          <w:rFonts w:ascii="Times New Roman" w:hAnsi="Times New Roman"/>
          <w:color w:val="000000"/>
          <w:szCs w:val="24"/>
        </w:rPr>
      </w:pPr>
      <w:r w:rsidRPr="007248C5">
        <w:rPr>
          <w:rFonts w:ascii="Times New Roman" w:hAnsi="Times New Roman"/>
          <w:color w:val="000000"/>
          <w:szCs w:val="24"/>
        </w:rPr>
        <w:t>- There were significant difference of the number of nucleated cells and CD34(+) cells between patients with and without infected history.</w:t>
      </w:r>
    </w:p>
    <w:p w:rsidR="007C6360" w:rsidRPr="007248C5" w:rsidRDefault="007248C5" w:rsidP="007248C5">
      <w:pPr>
        <w:rPr>
          <w:rFonts w:ascii="Times New Roman" w:hAnsi="Times New Roman"/>
          <w:szCs w:val="24"/>
        </w:rPr>
      </w:pPr>
      <w:r w:rsidRPr="007248C5">
        <w:rPr>
          <w:rFonts w:ascii="Times New Roman" w:hAnsi="Times New Roman"/>
          <w:b/>
          <w:i/>
          <w:color w:val="000000"/>
          <w:szCs w:val="24"/>
        </w:rPr>
        <w:t>Keywords:</w:t>
      </w:r>
      <w:r w:rsidRPr="007248C5">
        <w:rPr>
          <w:rFonts w:ascii="Times New Roman" w:hAnsi="Times New Roman"/>
          <w:color w:val="000000"/>
          <w:szCs w:val="24"/>
        </w:rPr>
        <w:t xml:space="preserve"> delayed unions, nonunions, CD34(+) cells, bone marrow.</w:t>
      </w:r>
    </w:p>
    <w:sectPr w:rsidR="007C6360" w:rsidRPr="007248C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6C4" w:rsidRDefault="00F116C4" w:rsidP="00AA4274">
      <w:r>
        <w:separator/>
      </w:r>
    </w:p>
  </w:endnote>
  <w:endnote w:type="continuationSeparator" w:id="0">
    <w:p w:rsidR="00F116C4" w:rsidRDefault="00F116C4" w:rsidP="00AA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6C4" w:rsidRDefault="00F116C4" w:rsidP="00AA4274">
      <w:r>
        <w:separator/>
      </w:r>
    </w:p>
  </w:footnote>
  <w:footnote w:type="continuationSeparator" w:id="0">
    <w:p w:rsidR="00F116C4" w:rsidRDefault="00F116C4" w:rsidP="00AA4274">
      <w:r>
        <w:continuationSeparator/>
      </w:r>
    </w:p>
  </w:footnote>
  <w:footnote w:id="1">
    <w:p w:rsidR="007248C5" w:rsidRPr="00BC0FF5" w:rsidRDefault="007248C5" w:rsidP="00BC0FF5">
      <w:pPr>
        <w:pStyle w:val="FootnoteText"/>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8A"/>
    <w:rsid w:val="005057E1"/>
    <w:rsid w:val="005B4F3B"/>
    <w:rsid w:val="007248C5"/>
    <w:rsid w:val="007C6360"/>
    <w:rsid w:val="00AA4274"/>
    <w:rsid w:val="00BC0FF5"/>
    <w:rsid w:val="00ED618A"/>
    <w:rsid w:val="00F116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FAF8B-2764-438E-B2BF-66B079DE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274"/>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4274"/>
    <w:rPr>
      <w:color w:val="0000FF"/>
      <w:u w:val="single"/>
    </w:rPr>
  </w:style>
  <w:style w:type="character" w:styleId="FootnoteReference">
    <w:name w:val="footnote reference"/>
    <w:aliases w:val="Footnote,Footnote + Arial,10 pt,Black,ftref,(NECG) Footnote Reference,16 Point,Superscript 6 Point"/>
    <w:semiHidden/>
    <w:rsid w:val="00AA4274"/>
    <w:rPr>
      <w:vertAlign w:val="superscript"/>
    </w:rPr>
  </w:style>
  <w:style w:type="paragraph" w:styleId="FootnoteText">
    <w:name w:val="footnote text"/>
    <w:basedOn w:val="Normal"/>
    <w:link w:val="FootnoteTextChar"/>
    <w:uiPriority w:val="99"/>
    <w:semiHidden/>
    <w:unhideWhenUsed/>
    <w:rsid w:val="00BC0FF5"/>
    <w:rPr>
      <w:sz w:val="20"/>
    </w:rPr>
  </w:style>
  <w:style w:type="character" w:customStyle="1" w:styleId="FootnoteTextChar">
    <w:name w:val="Footnote Text Char"/>
    <w:basedOn w:val="DefaultParagraphFont"/>
    <w:link w:val="FootnoteText"/>
    <w:uiPriority w:val="99"/>
    <w:semiHidden/>
    <w:rsid w:val="00BC0FF5"/>
    <w:rPr>
      <w:rFonts w:ascii=".VnTime" w:eastAsia="Times New Roman" w:hAnsi=".VnTime"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4</cp:revision>
  <dcterms:created xsi:type="dcterms:W3CDTF">2015-06-04T09:04:00Z</dcterms:created>
  <dcterms:modified xsi:type="dcterms:W3CDTF">2015-06-05T09:01:00Z</dcterms:modified>
</cp:coreProperties>
</file>