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F50" w:rsidRPr="00DF282C" w:rsidRDefault="00A47F50" w:rsidP="00A47F50">
      <w:pPr>
        <w:widowControl w:val="0"/>
        <w:contextualSpacing/>
        <w:jc w:val="center"/>
        <w:rPr>
          <w:rFonts w:ascii="Cambria" w:hAnsi="Cambria" w:cs="Tahoma"/>
          <w:b/>
          <w:iCs/>
          <w:sz w:val="28"/>
        </w:rPr>
      </w:pPr>
      <w:r w:rsidRPr="00DF282C">
        <w:rPr>
          <w:rFonts w:ascii="Cambria" w:hAnsi="Cambria" w:cs="Tahoma"/>
          <w:b/>
          <w:iCs/>
          <w:sz w:val="28"/>
        </w:rPr>
        <w:t>RỐI LOẠN LIPID MÁU VÀ CÁC YẾU TỐ LIÊN QUAN</w:t>
      </w:r>
    </w:p>
    <w:p w:rsidR="00A47F50" w:rsidRPr="00DF282C" w:rsidRDefault="00A47F50" w:rsidP="00A47F50">
      <w:pPr>
        <w:widowControl w:val="0"/>
        <w:contextualSpacing/>
        <w:jc w:val="center"/>
        <w:rPr>
          <w:rFonts w:ascii="Cambria" w:hAnsi="Cambria" w:cs="Tahoma"/>
          <w:b/>
          <w:iCs/>
          <w:sz w:val="28"/>
        </w:rPr>
      </w:pPr>
      <w:r w:rsidRPr="00DF282C">
        <w:rPr>
          <w:rFonts w:ascii="Cambria" w:hAnsi="Cambria" w:cs="Tahoma"/>
          <w:b/>
          <w:iCs/>
          <w:sz w:val="28"/>
        </w:rPr>
        <w:t>Ở BỆNH NHÂN GÚT NGUYÊN PHÁT</w:t>
      </w:r>
    </w:p>
    <w:p w:rsidR="00A47F50" w:rsidRDefault="00A47F50" w:rsidP="00A47F50">
      <w:pPr>
        <w:pStyle w:val="NormalWeb"/>
        <w:shd w:val="clear" w:color="auto" w:fill="FFFFFF"/>
        <w:spacing w:before="0" w:beforeAutospacing="0" w:after="0" w:afterAutospacing="0"/>
        <w:contextualSpacing/>
        <w:jc w:val="both"/>
        <w:rPr>
          <w:rFonts w:ascii="Tahoma" w:hAnsi="Tahoma" w:cs="Tahoma"/>
          <w:color w:val="000000"/>
          <w:szCs w:val="20"/>
        </w:rPr>
      </w:pPr>
    </w:p>
    <w:p w:rsidR="00A47F50" w:rsidRPr="00A96283" w:rsidRDefault="00A47F50" w:rsidP="00A47F50">
      <w:pPr>
        <w:pStyle w:val="NormalWeb"/>
        <w:shd w:val="clear" w:color="auto" w:fill="FFFFFF"/>
        <w:spacing w:before="0" w:beforeAutospacing="0" w:after="0" w:afterAutospacing="0"/>
        <w:contextualSpacing/>
        <w:jc w:val="right"/>
        <w:rPr>
          <w:b/>
          <w:color w:val="000000"/>
          <w:sz w:val="24"/>
          <w:szCs w:val="20"/>
        </w:rPr>
      </w:pPr>
      <w:r w:rsidRPr="00A96283">
        <w:rPr>
          <w:b/>
          <w:color w:val="000000"/>
          <w:sz w:val="24"/>
          <w:szCs w:val="20"/>
        </w:rPr>
        <w:t>Đỗ Trung Quân</w:t>
      </w:r>
      <w:r>
        <w:rPr>
          <w:b/>
          <w:color w:val="000000"/>
          <w:sz w:val="24"/>
          <w:szCs w:val="20"/>
        </w:rPr>
        <w:t>*</w:t>
      </w:r>
      <w:r w:rsidRPr="00A96283">
        <w:rPr>
          <w:b/>
          <w:color w:val="000000"/>
          <w:sz w:val="24"/>
          <w:szCs w:val="20"/>
        </w:rPr>
        <w:t>, Đào Hùng Hạnh</w:t>
      </w:r>
      <w:r>
        <w:rPr>
          <w:b/>
          <w:color w:val="000000"/>
          <w:sz w:val="24"/>
          <w:szCs w:val="20"/>
        </w:rPr>
        <w:t>*</w:t>
      </w:r>
    </w:p>
    <w:p w:rsidR="00A47F50" w:rsidRPr="00A47F50" w:rsidRDefault="00A47F50" w:rsidP="00A47F50">
      <w:pPr>
        <w:widowControl w:val="0"/>
        <w:tabs>
          <w:tab w:val="left" w:pos="360"/>
        </w:tabs>
        <w:spacing w:line="260" w:lineRule="exact"/>
        <w:contextualSpacing/>
        <w:jc w:val="both"/>
        <w:rPr>
          <w:rFonts w:ascii="Times New Roman" w:hAnsi="Times New Roman"/>
          <w:b/>
          <w:color w:val="000000"/>
          <w:szCs w:val="24"/>
        </w:rPr>
      </w:pPr>
      <w:r w:rsidRPr="00A47F50">
        <w:rPr>
          <w:rFonts w:ascii="Times New Roman" w:hAnsi="Times New Roman"/>
          <w:b/>
          <w:color w:val="000000"/>
          <w:szCs w:val="24"/>
        </w:rPr>
        <w:t>TÓM TẮT</w:t>
      </w:r>
      <w:r w:rsidRPr="00A47F50">
        <w:rPr>
          <w:rStyle w:val="FootnoteReference"/>
          <w:rFonts w:ascii="Times New Roman" w:hAnsi="Times New Roman"/>
          <w:b/>
          <w:color w:val="000000"/>
          <w:szCs w:val="24"/>
        </w:rPr>
        <w:footnoteReference w:id="1"/>
      </w:r>
    </w:p>
    <w:p w:rsidR="00A47F50" w:rsidRPr="00A47F50" w:rsidRDefault="00A47F50" w:rsidP="00A47F50">
      <w:pPr>
        <w:widowControl w:val="0"/>
        <w:tabs>
          <w:tab w:val="left" w:pos="360"/>
        </w:tabs>
        <w:spacing w:line="240" w:lineRule="exact"/>
        <w:ind w:firstLine="357"/>
        <w:contextualSpacing/>
        <w:jc w:val="both"/>
        <w:rPr>
          <w:rFonts w:ascii="Times New Roman" w:hAnsi="Times New Roman"/>
          <w:szCs w:val="24"/>
        </w:rPr>
      </w:pPr>
      <w:r w:rsidRPr="00A47F50">
        <w:rPr>
          <w:rFonts w:ascii="Times New Roman" w:hAnsi="Times New Roman"/>
          <w:b/>
          <w:bCs/>
          <w:color w:val="000000"/>
          <w:szCs w:val="24"/>
        </w:rPr>
        <w:t>Mục tiêu</w:t>
      </w:r>
      <w:r w:rsidRPr="00A47F50">
        <w:rPr>
          <w:rFonts w:ascii="Times New Roman" w:hAnsi="Times New Roman"/>
          <w:bCs/>
          <w:color w:val="000000"/>
          <w:szCs w:val="24"/>
        </w:rPr>
        <w:t xml:space="preserve">: </w:t>
      </w:r>
      <w:r w:rsidRPr="00A47F50">
        <w:rPr>
          <w:rFonts w:ascii="Times New Roman" w:hAnsi="Times New Roman"/>
          <w:szCs w:val="24"/>
        </w:rPr>
        <w:t>Tìm hiểu rối loạn lipid máu và các yếu tố liên quan ở bệnh nhân gút nguyên phát.</w:t>
      </w:r>
      <w:r w:rsidRPr="00A47F50">
        <w:rPr>
          <w:rFonts w:ascii="Times New Roman" w:hAnsi="Times New Roman"/>
          <w:bCs/>
          <w:szCs w:val="24"/>
        </w:rPr>
        <w:t xml:space="preserve"> </w:t>
      </w:r>
      <w:r w:rsidRPr="00A47F50">
        <w:rPr>
          <w:rStyle w:val="Strong"/>
          <w:rFonts w:ascii="Times New Roman" w:hAnsi="Times New Roman"/>
          <w:color w:val="000000"/>
          <w:szCs w:val="24"/>
        </w:rPr>
        <w:t xml:space="preserve">Đối tượng: </w:t>
      </w:r>
      <w:r w:rsidRPr="00A47F50">
        <w:rPr>
          <w:rStyle w:val="Strong"/>
          <w:rFonts w:ascii="Times New Roman" w:hAnsi="Times New Roman"/>
          <w:b w:val="0"/>
          <w:szCs w:val="24"/>
        </w:rPr>
        <w:t xml:space="preserve">gồm127 nam bệnh nhân Gút nguyên phát và 127 nam giới khỏe mạnh, cùng tuổi đến </w:t>
      </w:r>
      <w:r w:rsidRPr="00A47F50">
        <w:rPr>
          <w:rStyle w:val="Strong"/>
          <w:rFonts w:ascii="Times New Roman" w:hAnsi="Times New Roman"/>
          <w:b w:val="0"/>
          <w:iCs/>
          <w:szCs w:val="24"/>
        </w:rPr>
        <w:t>khám tại khoa khám chữa bệnh theo yêu cầu Bệnh viện Bạch Mai, từ 3/20012-3/2014</w:t>
      </w:r>
      <w:r w:rsidRPr="00A47F50">
        <w:rPr>
          <w:rFonts w:ascii="Times New Roman" w:hAnsi="Times New Roman"/>
          <w:szCs w:val="24"/>
        </w:rPr>
        <w:t xml:space="preserve">. </w:t>
      </w:r>
      <w:r w:rsidRPr="00A47F50">
        <w:rPr>
          <w:rFonts w:ascii="Times New Roman" w:hAnsi="Times New Roman"/>
          <w:b/>
          <w:color w:val="000000"/>
          <w:szCs w:val="24"/>
        </w:rPr>
        <w:t>Phương pháp nghiên cứu</w:t>
      </w:r>
      <w:r w:rsidRPr="00A47F50">
        <w:rPr>
          <w:rFonts w:ascii="Times New Roman" w:hAnsi="Times New Roman"/>
          <w:color w:val="000000"/>
          <w:szCs w:val="24"/>
        </w:rPr>
        <w:t>:</w:t>
      </w:r>
      <w:r w:rsidRPr="00A47F50">
        <w:rPr>
          <w:rFonts w:ascii="Times New Roman" w:hAnsi="Times New Roman"/>
          <w:szCs w:val="24"/>
        </w:rPr>
        <w:t xml:space="preserve"> cắt ngang. Các đối tượng được hỏi bệnh, khám lâm sàng, xét nghiêm máu (xét nghiệm cơ bản, lipid máu).  </w:t>
      </w:r>
      <w:r w:rsidRPr="00A47F50">
        <w:rPr>
          <w:rFonts w:ascii="Times New Roman" w:hAnsi="Times New Roman"/>
          <w:b/>
          <w:color w:val="000000"/>
          <w:szCs w:val="24"/>
        </w:rPr>
        <w:t>Kết quả</w:t>
      </w:r>
      <w:r w:rsidRPr="00A47F50">
        <w:rPr>
          <w:rFonts w:ascii="Times New Roman" w:hAnsi="Times New Roman"/>
          <w:i/>
          <w:color w:val="000000"/>
          <w:szCs w:val="24"/>
        </w:rPr>
        <w:t xml:space="preserve">: </w:t>
      </w:r>
      <w:r w:rsidRPr="00A47F50">
        <w:rPr>
          <w:rFonts w:ascii="Times New Roman" w:hAnsi="Times New Roman"/>
          <w:szCs w:val="24"/>
          <w:lang w:val="en-GB"/>
        </w:rPr>
        <w:t xml:space="preserve">Tuổi trung bình là </w:t>
      </w:r>
      <w:r w:rsidRPr="00A47F50">
        <w:rPr>
          <w:rFonts w:ascii="Times New Roman" w:hAnsi="Times New Roman"/>
          <w:szCs w:val="24"/>
          <w:lang w:val="en-GB" w:eastAsia="ja-JP"/>
        </w:rPr>
        <w:t>49,3 ± 15,6, thời gian mắc bệnh 2,5 ± 1,6 năm</w:t>
      </w:r>
      <w:r w:rsidRPr="00A47F50">
        <w:rPr>
          <w:rFonts w:ascii="Times New Roman" w:hAnsi="Times New Roman"/>
          <w:szCs w:val="24"/>
        </w:rPr>
        <w:t xml:space="preserve">. Tần suất rối loạn lipid máu ở bệnh nhân gút cao hơn (p &lt;0,001) nhóm chứng như </w:t>
      </w:r>
      <w:r w:rsidRPr="00A47F50">
        <w:rPr>
          <w:rFonts w:ascii="Times New Roman" w:hAnsi="Times New Roman"/>
          <w:szCs w:val="24"/>
          <w:lang w:val="en-GB"/>
        </w:rPr>
        <w:t xml:space="preserve">tăng cholesterol toàn phần (48,0 so với 33,9%), tăng LDL-C (51,2 so với 37,0%), HDL-C thấp (53,5 so với 22,8%) và tăng triglycerides (56,7 so với 32,3%), chỉ số đánh giá xơ vữa mạch máu (cholesterol toàn phần/HDL-C (3,95 ± 1,37 so với 3,45 ± 1,83). Các yếu tố liên quan đến rối loạn lipid máu ở bệnh nhân gút là tuổi, tiền sử gia đình có bệnh tim mạch, hút thuốc lá, uống rượu, bia, ít hoạt động thể dục, béo phì, nồng độ acid uric máu và xuất hiện hạt tophi. </w:t>
      </w:r>
      <w:r w:rsidRPr="00A47F50">
        <w:rPr>
          <w:rFonts w:ascii="Times New Roman" w:hAnsi="Times New Roman"/>
          <w:b/>
          <w:color w:val="000000"/>
          <w:szCs w:val="24"/>
        </w:rPr>
        <w:t>Kết luận</w:t>
      </w:r>
      <w:r w:rsidRPr="00A47F50">
        <w:rPr>
          <w:rFonts w:ascii="Times New Roman" w:hAnsi="Times New Roman"/>
          <w:color w:val="000000"/>
          <w:szCs w:val="24"/>
        </w:rPr>
        <w:t>:</w:t>
      </w:r>
      <w:r w:rsidRPr="00A47F50">
        <w:rPr>
          <w:rFonts w:ascii="Times New Roman" w:hAnsi="Times New Roman"/>
          <w:szCs w:val="24"/>
        </w:rPr>
        <w:t xml:space="preserve"> </w:t>
      </w:r>
      <w:r w:rsidRPr="00A47F50">
        <w:rPr>
          <w:rFonts w:ascii="Times New Roman" w:hAnsi="Times New Roman"/>
          <w:szCs w:val="24"/>
          <w:lang w:val="en-GB"/>
        </w:rPr>
        <w:t>Tần suất các rối loạn lipid máu ở bệnh nhân gút nguyên phát khá cao, dao động từ 48,0 đến 56,7%. Hút thuốc lá, uống rượu, bia, ít hoạt động thể dục, béo phì, tình trạng bệnh là những yếu tố liên quan đến rối loạn lipid máu. Do đó, cần kiểm soát tốt tình trạng bệnh gút, khuyến khích bệnh nhân thay đổi lối sống và sinh hoạt hợp lý, để làm giảm nguy cơ rối loạn lipid máu, qua đó hạn chế nguy cơ tim mạch ở bệnh nhân gút.</w:t>
      </w:r>
    </w:p>
    <w:p w:rsidR="00A47F50" w:rsidRPr="00A47F50" w:rsidRDefault="00A47F50" w:rsidP="00A47F50">
      <w:pPr>
        <w:spacing w:line="240" w:lineRule="exact"/>
        <w:ind w:firstLine="357"/>
        <w:contextualSpacing/>
        <w:jc w:val="both"/>
        <w:rPr>
          <w:rFonts w:ascii="Times New Roman" w:hAnsi="Times New Roman"/>
          <w:i/>
          <w:color w:val="000000"/>
          <w:szCs w:val="24"/>
        </w:rPr>
      </w:pPr>
      <w:r w:rsidRPr="00A47F50">
        <w:rPr>
          <w:rFonts w:ascii="Times New Roman" w:hAnsi="Times New Roman"/>
          <w:b/>
          <w:i/>
          <w:color w:val="000000"/>
          <w:szCs w:val="24"/>
        </w:rPr>
        <w:t>Từ khóa:</w:t>
      </w:r>
      <w:r w:rsidRPr="00A47F50">
        <w:rPr>
          <w:rFonts w:ascii="Times New Roman" w:hAnsi="Times New Roman"/>
          <w:i/>
          <w:color w:val="000000"/>
          <w:szCs w:val="24"/>
        </w:rPr>
        <w:t xml:space="preserve"> </w:t>
      </w:r>
      <w:r w:rsidRPr="00A47F50">
        <w:rPr>
          <w:rFonts w:ascii="Times New Roman" w:hAnsi="Times New Roman"/>
          <w:color w:val="000000"/>
          <w:szCs w:val="24"/>
        </w:rPr>
        <w:t>rối loạn lipid máu, béo phì, nguy cơ tim mạch, gút</w:t>
      </w:r>
      <w:r w:rsidRPr="00A47F50">
        <w:rPr>
          <w:rFonts w:ascii="Times New Roman" w:hAnsi="Times New Roman"/>
          <w:i/>
          <w:color w:val="000000"/>
          <w:szCs w:val="24"/>
        </w:rPr>
        <w:t xml:space="preserve">  </w:t>
      </w:r>
    </w:p>
    <w:p w:rsidR="00A47F50" w:rsidRPr="00A47F50" w:rsidRDefault="00A47F50" w:rsidP="00A47F50">
      <w:pPr>
        <w:pStyle w:val="NormalWeb"/>
        <w:shd w:val="clear" w:color="auto" w:fill="FFFFFF"/>
        <w:spacing w:before="0" w:beforeAutospacing="0" w:after="0" w:afterAutospacing="0" w:line="260" w:lineRule="exact"/>
        <w:contextualSpacing/>
        <w:jc w:val="both"/>
        <w:rPr>
          <w:b/>
          <w:color w:val="000000"/>
          <w:sz w:val="24"/>
        </w:rPr>
      </w:pPr>
    </w:p>
    <w:p w:rsidR="00A47F50" w:rsidRPr="00A47F50" w:rsidRDefault="00A47F50" w:rsidP="00A47F50">
      <w:pPr>
        <w:pStyle w:val="NormalWeb"/>
        <w:shd w:val="clear" w:color="auto" w:fill="FFFFFF"/>
        <w:spacing w:before="0" w:beforeAutospacing="0" w:after="0" w:afterAutospacing="0" w:line="260" w:lineRule="exact"/>
        <w:contextualSpacing/>
        <w:jc w:val="both"/>
        <w:rPr>
          <w:b/>
          <w:color w:val="000000"/>
          <w:sz w:val="24"/>
        </w:rPr>
      </w:pPr>
      <w:r w:rsidRPr="00A47F50">
        <w:rPr>
          <w:b/>
          <w:color w:val="000000"/>
          <w:sz w:val="24"/>
        </w:rPr>
        <w:t>SUMMARY</w:t>
      </w:r>
    </w:p>
    <w:p w:rsidR="00A47F50" w:rsidRPr="00A47F50" w:rsidRDefault="00A47F50" w:rsidP="00A47F50">
      <w:pPr>
        <w:pStyle w:val="NormalWeb"/>
        <w:shd w:val="clear" w:color="auto" w:fill="FFFFFF"/>
        <w:spacing w:before="0" w:beforeAutospacing="0" w:after="0" w:afterAutospacing="0" w:line="260" w:lineRule="exact"/>
        <w:contextualSpacing/>
        <w:jc w:val="center"/>
        <w:rPr>
          <w:b/>
          <w:color w:val="000000"/>
          <w:sz w:val="24"/>
        </w:rPr>
      </w:pPr>
      <w:r w:rsidRPr="00A47F50">
        <w:rPr>
          <w:b/>
          <w:color w:val="000000"/>
          <w:sz w:val="24"/>
        </w:rPr>
        <w:t>PLASMA LIPID DISORDERS</w:t>
      </w:r>
    </w:p>
    <w:p w:rsidR="00A47F50" w:rsidRPr="00A47F50" w:rsidRDefault="00A47F50" w:rsidP="00A47F50">
      <w:pPr>
        <w:pStyle w:val="NormalWeb"/>
        <w:shd w:val="clear" w:color="auto" w:fill="FFFFFF"/>
        <w:spacing w:before="0" w:beforeAutospacing="0" w:after="0" w:afterAutospacing="0" w:line="260" w:lineRule="exact"/>
        <w:contextualSpacing/>
        <w:jc w:val="center"/>
        <w:rPr>
          <w:b/>
          <w:color w:val="000000"/>
          <w:sz w:val="24"/>
        </w:rPr>
      </w:pPr>
      <w:r w:rsidRPr="00A47F50">
        <w:rPr>
          <w:b/>
          <w:color w:val="000000"/>
          <w:sz w:val="24"/>
        </w:rPr>
        <w:t>AND RELATED FACTORS IN PATIENTS WITH PRIMARY GOUT</w:t>
      </w:r>
    </w:p>
    <w:p w:rsidR="00A47F50" w:rsidRPr="00A47F50" w:rsidRDefault="00A47F50" w:rsidP="00A47F50">
      <w:pPr>
        <w:pStyle w:val="NormalWeb"/>
        <w:shd w:val="clear" w:color="auto" w:fill="FFFFFF"/>
        <w:spacing w:before="0" w:beforeAutospacing="0" w:after="0" w:afterAutospacing="0" w:line="260" w:lineRule="exact"/>
        <w:ind w:firstLine="360"/>
        <w:contextualSpacing/>
        <w:jc w:val="both"/>
        <w:rPr>
          <w:sz w:val="24"/>
        </w:rPr>
      </w:pPr>
      <w:r w:rsidRPr="00A47F50">
        <w:rPr>
          <w:b/>
          <w:color w:val="000000"/>
          <w:sz w:val="24"/>
        </w:rPr>
        <w:t>Objectives</w:t>
      </w:r>
      <w:r w:rsidRPr="00A47F50">
        <w:rPr>
          <w:bCs/>
          <w:color w:val="000000"/>
          <w:sz w:val="24"/>
        </w:rPr>
        <w:t xml:space="preserve">: To investigate the plasma lipid disorders and related factors in patients with primary gout. </w:t>
      </w:r>
      <w:r w:rsidRPr="00A47F50">
        <w:rPr>
          <w:b/>
          <w:bCs/>
          <w:sz w:val="24"/>
        </w:rPr>
        <w:t>Patients</w:t>
      </w:r>
      <w:r w:rsidRPr="00A47F50">
        <w:rPr>
          <w:rStyle w:val="Strong"/>
          <w:color w:val="000000"/>
          <w:sz w:val="24"/>
        </w:rPr>
        <w:t xml:space="preserve">: </w:t>
      </w:r>
      <w:r w:rsidRPr="00A47F50">
        <w:rPr>
          <w:rStyle w:val="Strong"/>
          <w:b w:val="0"/>
          <w:color w:val="000000"/>
          <w:sz w:val="24"/>
        </w:rPr>
        <w:t xml:space="preserve">127 men with </w:t>
      </w:r>
      <w:r w:rsidRPr="00A47F50">
        <w:rPr>
          <w:bCs/>
          <w:color w:val="000000"/>
          <w:sz w:val="24"/>
        </w:rPr>
        <w:t>primary gout</w:t>
      </w:r>
      <w:r w:rsidRPr="00A47F50">
        <w:rPr>
          <w:sz w:val="24"/>
        </w:rPr>
        <w:t xml:space="preserve"> and 127 healthy age-matched men examined in our department from </w:t>
      </w:r>
      <w:r w:rsidRPr="00A47F50">
        <w:rPr>
          <w:rStyle w:val="Strong"/>
          <w:b w:val="0"/>
          <w:iCs/>
          <w:sz w:val="24"/>
        </w:rPr>
        <w:t>3/2012-3/2014 were included</w:t>
      </w:r>
      <w:r w:rsidRPr="00A47F50">
        <w:rPr>
          <w:sz w:val="24"/>
        </w:rPr>
        <w:t xml:space="preserve">. </w:t>
      </w:r>
      <w:r w:rsidRPr="00A47F50">
        <w:rPr>
          <w:b/>
          <w:color w:val="000000"/>
          <w:sz w:val="24"/>
        </w:rPr>
        <w:t xml:space="preserve"> Methods:</w:t>
      </w:r>
      <w:r w:rsidRPr="00A47F50">
        <w:rPr>
          <w:sz w:val="24"/>
        </w:rPr>
        <w:t xml:space="preserve"> cross-sectional study. Patients were underwent clinical examination and blood tests (basic tests, plasma lipid). </w:t>
      </w:r>
      <w:r w:rsidRPr="00A47F50">
        <w:rPr>
          <w:b/>
          <w:color w:val="000000"/>
          <w:sz w:val="24"/>
        </w:rPr>
        <w:t>Results</w:t>
      </w:r>
      <w:r w:rsidRPr="00A47F50">
        <w:rPr>
          <w:i/>
          <w:color w:val="000000"/>
          <w:sz w:val="24"/>
        </w:rPr>
        <w:t xml:space="preserve">: </w:t>
      </w:r>
      <w:r w:rsidRPr="00A47F50">
        <w:rPr>
          <w:color w:val="000000"/>
          <w:sz w:val="24"/>
        </w:rPr>
        <w:t>Mean age: 49.3</w:t>
      </w:r>
      <w:r w:rsidRPr="00A47F50">
        <w:rPr>
          <w:sz w:val="24"/>
          <w:lang w:val="en-GB"/>
        </w:rPr>
        <w:t xml:space="preserve"> ± 15.6; </w:t>
      </w:r>
      <w:r w:rsidRPr="00A47F50">
        <w:rPr>
          <w:sz w:val="24"/>
        </w:rPr>
        <w:t>disease duration: 2.5</w:t>
      </w:r>
      <w:r w:rsidRPr="00A47F50">
        <w:rPr>
          <w:sz w:val="24"/>
          <w:lang w:val="en-GB"/>
        </w:rPr>
        <w:t xml:space="preserve"> ± 1.6 yrs. </w:t>
      </w:r>
      <w:r w:rsidRPr="00A47F50">
        <w:rPr>
          <w:sz w:val="24"/>
        </w:rPr>
        <w:t xml:space="preserve"> </w:t>
      </w:r>
      <w:r w:rsidRPr="00A47F50">
        <w:rPr>
          <w:sz w:val="24"/>
          <w:lang w:val="en-GB"/>
        </w:rPr>
        <w:t xml:space="preserve">Prevalence of </w:t>
      </w:r>
      <w:r w:rsidRPr="00A47F50">
        <w:rPr>
          <w:bCs/>
          <w:color w:val="000000"/>
          <w:sz w:val="24"/>
        </w:rPr>
        <w:t>plasma lipid disorders</w:t>
      </w:r>
      <w:r w:rsidRPr="00A47F50">
        <w:rPr>
          <w:sz w:val="24"/>
          <w:lang w:val="en-GB"/>
        </w:rPr>
        <w:t xml:space="preserve"> were significantly higher (p &lt;0.001) in gout patients for high total cholesterol (49.3 vs 47.8%)low HDL-Cholesterol (50.5% vs 26.1%), high total cholesterol (48.0 vs 33.9%), high LDL-C (51.2 vs 37.0%), low HDL-C (53.5 vs 22.8%) and high tăng triglycerides (56.7 vs 32.3%), atherosclerotic index (total cholesterol/HDL-C (3.95 ± 1.37 vs 3.45 ± 1.83). Related factors to </w:t>
      </w:r>
      <w:r w:rsidRPr="00A47F50">
        <w:rPr>
          <w:bCs/>
          <w:color w:val="000000"/>
          <w:sz w:val="24"/>
        </w:rPr>
        <w:t>plasma lipid disorders were a</w:t>
      </w:r>
      <w:r w:rsidRPr="00A47F50">
        <w:rPr>
          <w:sz w:val="24"/>
          <w:lang w:val="en-GB"/>
        </w:rPr>
        <w:t xml:space="preserve">ge, family history of cardiovascular diseases, smoking, drinking beer and alcohol, infrequent physical activities, obese, plasma uric acid and tophus nodule. </w:t>
      </w:r>
      <w:r w:rsidRPr="00A47F50">
        <w:rPr>
          <w:b/>
          <w:color w:val="000000"/>
          <w:sz w:val="24"/>
        </w:rPr>
        <w:t xml:space="preserve">Conclusions: </w:t>
      </w:r>
      <w:r w:rsidRPr="00A47F50">
        <w:rPr>
          <w:sz w:val="24"/>
          <w:lang w:val="en-GB"/>
        </w:rPr>
        <w:t xml:space="preserve">Prevalence of </w:t>
      </w:r>
      <w:r w:rsidRPr="00A47F50">
        <w:rPr>
          <w:bCs/>
          <w:color w:val="000000"/>
          <w:sz w:val="24"/>
        </w:rPr>
        <w:t>plasma lipid disorders</w:t>
      </w:r>
      <w:r w:rsidRPr="00A47F50">
        <w:rPr>
          <w:sz w:val="24"/>
          <w:lang w:val="en-GB"/>
        </w:rPr>
        <w:t xml:space="preserve"> was rather higher in gout patients, varied from 48.0 to 56.7%; these disorders were significantly related to smoking, drinking beer and alcohol, infrequent physical activities, obese, plasma uric acid and tophus nodule. Therefore, doctors should well control disease’s activity and encourage patients to change life style in order to reduce </w:t>
      </w:r>
      <w:r w:rsidRPr="00A47F50">
        <w:rPr>
          <w:bCs/>
          <w:color w:val="000000"/>
          <w:sz w:val="24"/>
        </w:rPr>
        <w:t>plasma lipid disorders</w:t>
      </w:r>
      <w:r w:rsidRPr="00A47F50">
        <w:rPr>
          <w:sz w:val="24"/>
          <w:lang w:val="en-GB"/>
        </w:rPr>
        <w:t xml:space="preserve"> and cardiovascular risk factors in gout patients. </w:t>
      </w:r>
    </w:p>
    <w:p w:rsidR="007C6360" w:rsidRPr="00A47F50" w:rsidRDefault="00A47F50" w:rsidP="00A47F50">
      <w:pPr>
        <w:rPr>
          <w:rFonts w:ascii="Times New Roman" w:hAnsi="Times New Roman"/>
          <w:szCs w:val="24"/>
        </w:rPr>
      </w:pPr>
      <w:r w:rsidRPr="00A47F50">
        <w:rPr>
          <w:rFonts w:ascii="Times New Roman" w:hAnsi="Times New Roman"/>
          <w:b/>
          <w:i/>
          <w:szCs w:val="24"/>
        </w:rPr>
        <w:t>Keywords:</w:t>
      </w:r>
      <w:r w:rsidRPr="00A47F50">
        <w:rPr>
          <w:rFonts w:ascii="Times New Roman" w:hAnsi="Times New Roman"/>
          <w:b/>
          <w:szCs w:val="24"/>
        </w:rPr>
        <w:t xml:space="preserve"> </w:t>
      </w:r>
      <w:r w:rsidRPr="00A47F50">
        <w:rPr>
          <w:rFonts w:ascii="Times New Roman" w:hAnsi="Times New Roman"/>
          <w:bCs/>
          <w:color w:val="000000"/>
          <w:szCs w:val="24"/>
        </w:rPr>
        <w:t>plasma lipid disorders,</w:t>
      </w:r>
      <w:r w:rsidRPr="00A47F50">
        <w:rPr>
          <w:rStyle w:val="Strong"/>
          <w:rFonts w:ascii="Times New Roman" w:hAnsi="Times New Roman"/>
          <w:b w:val="0"/>
          <w:color w:val="000000"/>
          <w:szCs w:val="24"/>
        </w:rPr>
        <w:t xml:space="preserve"> obese, cardiovascular risk, gout</w:t>
      </w:r>
    </w:p>
    <w:sectPr w:rsidR="007C6360" w:rsidRPr="00A47F50">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407" w:rsidRDefault="00E97407" w:rsidP="005C2B52">
      <w:r>
        <w:separator/>
      </w:r>
    </w:p>
  </w:endnote>
  <w:endnote w:type="continuationSeparator" w:id="0">
    <w:p w:rsidR="00E97407" w:rsidRDefault="00E97407" w:rsidP="005C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50" w:rsidRDefault="00A47F50">
    <w:pPr>
      <w:pStyle w:val="Footer"/>
      <w:jc w:val="right"/>
    </w:pPr>
    <w:r>
      <w:fldChar w:fldCharType="begin"/>
    </w:r>
    <w:r>
      <w:instrText xml:space="preserve"> PAGE   \* MERGEFORMAT </w:instrText>
    </w:r>
    <w:r>
      <w:fldChar w:fldCharType="separate"/>
    </w:r>
    <w:r w:rsidR="00714D43">
      <w:rPr>
        <w:noProof/>
      </w:rPr>
      <w:t>1</w:t>
    </w:r>
    <w:r>
      <w:fldChar w:fldCharType="end"/>
    </w:r>
  </w:p>
  <w:p w:rsidR="00A47F50" w:rsidRDefault="00A47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407" w:rsidRDefault="00E97407" w:rsidP="005C2B52">
      <w:r>
        <w:separator/>
      </w:r>
    </w:p>
  </w:footnote>
  <w:footnote w:type="continuationSeparator" w:id="0">
    <w:p w:rsidR="00E97407" w:rsidRDefault="00E97407" w:rsidP="005C2B52">
      <w:r>
        <w:continuationSeparator/>
      </w:r>
    </w:p>
  </w:footnote>
  <w:footnote w:id="1">
    <w:p w:rsidR="00A47F50" w:rsidRDefault="00A47F50" w:rsidP="00A47F50">
      <w:pPr>
        <w:contextualSpacing/>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F9"/>
    <w:rsid w:val="002E2B97"/>
    <w:rsid w:val="0043675B"/>
    <w:rsid w:val="005C2B52"/>
    <w:rsid w:val="006A0A95"/>
    <w:rsid w:val="00714D43"/>
    <w:rsid w:val="007226C3"/>
    <w:rsid w:val="0077679B"/>
    <w:rsid w:val="007C6360"/>
    <w:rsid w:val="008517F9"/>
    <w:rsid w:val="009B6902"/>
    <w:rsid w:val="00A353A4"/>
    <w:rsid w:val="00A47F50"/>
    <w:rsid w:val="00BB4DB2"/>
    <w:rsid w:val="00E066EB"/>
    <w:rsid w:val="00E97407"/>
    <w:rsid w:val="00FA5D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6C1B2-938F-4CC0-83A3-0EDA04EC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B52"/>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paragraph" w:styleId="Heading1">
    <w:name w:val="heading 1"/>
    <w:aliases w:val="Heading 1Q,dieu1,Dieu,so1,Heading 1 Char Char,Binh.part1"/>
    <w:basedOn w:val="Normal"/>
    <w:next w:val="Normal"/>
    <w:link w:val="Heading1Char1"/>
    <w:qFormat/>
    <w:rsid w:val="005C2B52"/>
    <w:pPr>
      <w:keepNext/>
      <w:jc w:val="center"/>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C2B52"/>
    <w:rPr>
      <w:rFonts w:asciiTheme="majorHAnsi" w:eastAsiaTheme="majorEastAsia" w:hAnsiTheme="majorHAnsi" w:cstheme="majorBidi"/>
      <w:color w:val="2E74B5" w:themeColor="accent1" w:themeShade="BF"/>
      <w:sz w:val="32"/>
      <w:szCs w:val="32"/>
      <w:lang w:val="en-US"/>
    </w:rPr>
  </w:style>
  <w:style w:type="character" w:customStyle="1" w:styleId="Heading1Char1">
    <w:name w:val="Heading 1 Char1"/>
    <w:aliases w:val="Heading 1Q Char,dieu1 Char,Dieu Char,so1 Char,Heading 1 Char Char Char,Binh.part1 Char"/>
    <w:link w:val="Heading1"/>
    <w:rsid w:val="005C2B52"/>
    <w:rPr>
      <w:rFonts w:ascii=".VnTimeH" w:eastAsia="Times New Roman" w:hAnsi=".VnTimeH" w:cs="Times New Roman"/>
      <w:b/>
      <w:bCs/>
      <w:sz w:val="24"/>
      <w:szCs w:val="20"/>
      <w:lang w:val="en-US"/>
    </w:rPr>
  </w:style>
  <w:style w:type="character" w:customStyle="1" w:styleId="hps">
    <w:name w:val="hps"/>
    <w:basedOn w:val="DefaultParagraphFont"/>
    <w:rsid w:val="005C2B52"/>
  </w:style>
  <w:style w:type="character" w:styleId="FootnoteReference">
    <w:name w:val="footnote reference"/>
    <w:aliases w:val="Footnote,Footnote + Arial,10 pt,Black,ftref,(NECG) Footnote Reference,16 Point,Superscript 6 Point"/>
    <w:semiHidden/>
    <w:rsid w:val="005C2B52"/>
    <w:rPr>
      <w:vertAlign w:val="superscript"/>
    </w:rPr>
  </w:style>
  <w:style w:type="paragraph" w:styleId="FootnoteText">
    <w:name w:val="footnote text"/>
    <w:aliases w:val="footnote text,single space,fn"/>
    <w:basedOn w:val="Normal"/>
    <w:link w:val="FootnoteTextChar1"/>
    <w:uiPriority w:val="99"/>
    <w:semiHidden/>
    <w:rsid w:val="0043675B"/>
    <w:pPr>
      <w:overflowPunct/>
      <w:autoSpaceDE/>
      <w:autoSpaceDN/>
      <w:adjustRightInd/>
      <w:textAlignment w:val="auto"/>
    </w:pPr>
    <w:rPr>
      <w:rFonts w:ascii="Times New Roman" w:hAnsi="Times New Roman"/>
      <w:sz w:val="20"/>
    </w:rPr>
  </w:style>
  <w:style w:type="character" w:customStyle="1" w:styleId="FootnoteTextChar">
    <w:name w:val="Footnote Text Char"/>
    <w:basedOn w:val="DefaultParagraphFont"/>
    <w:uiPriority w:val="99"/>
    <w:semiHidden/>
    <w:rsid w:val="0043675B"/>
    <w:rPr>
      <w:rFonts w:ascii=".VnTime" w:eastAsia="Times New Roman" w:hAnsi=".VnTime" w:cs="Times New Roman"/>
      <w:sz w:val="20"/>
      <w:szCs w:val="20"/>
      <w:lang w:val="en-US"/>
    </w:rPr>
  </w:style>
  <w:style w:type="character" w:customStyle="1" w:styleId="FootnoteTextChar1">
    <w:name w:val="Footnote Text Char1"/>
    <w:aliases w:val="footnote text Char,single space Char,fn Char"/>
    <w:link w:val="FootnoteText"/>
    <w:uiPriority w:val="99"/>
    <w:semiHidden/>
    <w:locked/>
    <w:rsid w:val="0043675B"/>
    <w:rPr>
      <w:rFonts w:ascii="Times New Roman" w:eastAsia="Times New Roman" w:hAnsi="Times New Roman" w:cs="Times New Roman"/>
      <w:sz w:val="20"/>
      <w:szCs w:val="20"/>
      <w:lang w:val="en-US"/>
    </w:rPr>
  </w:style>
  <w:style w:type="paragraph" w:customStyle="1" w:styleId="1">
    <w:name w:val="1"/>
    <w:basedOn w:val="Heading1"/>
    <w:link w:val="1Char"/>
    <w:qFormat/>
    <w:rsid w:val="0043675B"/>
    <w:pPr>
      <w:overflowPunct/>
      <w:autoSpaceDE/>
      <w:autoSpaceDN/>
      <w:adjustRightInd/>
      <w:spacing w:before="120" w:line="360" w:lineRule="auto"/>
      <w:textAlignment w:val="auto"/>
    </w:pPr>
    <w:rPr>
      <w:rFonts w:ascii="Times New Roman" w:hAnsi="Times New Roman"/>
      <w:bCs w:val="0"/>
      <w:sz w:val="26"/>
      <w:szCs w:val="26"/>
      <w:lang w:val="de-DE"/>
    </w:rPr>
  </w:style>
  <w:style w:type="character" w:customStyle="1" w:styleId="1Char">
    <w:name w:val="1 Char"/>
    <w:link w:val="1"/>
    <w:rsid w:val="0043675B"/>
    <w:rPr>
      <w:rFonts w:ascii="Times New Roman" w:eastAsia="Times New Roman" w:hAnsi="Times New Roman" w:cs="Times New Roman"/>
      <w:b/>
      <w:sz w:val="26"/>
      <w:szCs w:val="26"/>
      <w:lang w:val="de-DE"/>
    </w:rPr>
  </w:style>
  <w:style w:type="paragraph" w:styleId="Header">
    <w:name w:val="header"/>
    <w:basedOn w:val="Normal"/>
    <w:link w:val="HeaderChar"/>
    <w:uiPriority w:val="99"/>
    <w:unhideWhenUsed/>
    <w:rsid w:val="0043675B"/>
    <w:pPr>
      <w:tabs>
        <w:tab w:val="center" w:pos="4513"/>
        <w:tab w:val="right" w:pos="9026"/>
      </w:tabs>
    </w:pPr>
  </w:style>
  <w:style w:type="character" w:customStyle="1" w:styleId="HeaderChar">
    <w:name w:val="Header Char"/>
    <w:basedOn w:val="DefaultParagraphFont"/>
    <w:link w:val="Header"/>
    <w:uiPriority w:val="99"/>
    <w:rsid w:val="0043675B"/>
    <w:rPr>
      <w:rFonts w:ascii=".VnTime" w:eastAsia="Times New Roman" w:hAnsi=".VnTime" w:cs="Times New Roman"/>
      <w:sz w:val="24"/>
      <w:szCs w:val="20"/>
      <w:lang w:val="en-US"/>
    </w:rPr>
  </w:style>
  <w:style w:type="paragraph" w:styleId="Footer">
    <w:name w:val="footer"/>
    <w:aliases w:val="FooterQ"/>
    <w:basedOn w:val="Normal"/>
    <w:link w:val="FooterChar"/>
    <w:uiPriority w:val="99"/>
    <w:unhideWhenUsed/>
    <w:rsid w:val="0043675B"/>
    <w:pPr>
      <w:tabs>
        <w:tab w:val="center" w:pos="4513"/>
        <w:tab w:val="right" w:pos="9026"/>
      </w:tabs>
    </w:pPr>
  </w:style>
  <w:style w:type="character" w:customStyle="1" w:styleId="FooterChar">
    <w:name w:val="Footer Char"/>
    <w:aliases w:val="FooterQ Char1"/>
    <w:basedOn w:val="DefaultParagraphFont"/>
    <w:link w:val="Footer"/>
    <w:uiPriority w:val="99"/>
    <w:rsid w:val="0043675B"/>
    <w:rPr>
      <w:rFonts w:ascii=".VnTime" w:eastAsia="Times New Roman" w:hAnsi=".VnTime" w:cs="Times New Roman"/>
      <w:sz w:val="24"/>
      <w:szCs w:val="20"/>
      <w:lang w:val="en-US"/>
    </w:rPr>
  </w:style>
  <w:style w:type="paragraph" w:styleId="NormalWeb">
    <w:name w:val="Normal (Web)"/>
    <w:basedOn w:val="Normal"/>
    <w:uiPriority w:val="99"/>
    <w:unhideWhenUsed/>
    <w:rsid w:val="00BB4DB2"/>
    <w:pPr>
      <w:overflowPunct/>
      <w:autoSpaceDE/>
      <w:autoSpaceDN/>
      <w:adjustRightInd/>
      <w:spacing w:before="100" w:beforeAutospacing="1" w:after="100" w:afterAutospacing="1"/>
      <w:textAlignment w:val="auto"/>
    </w:pPr>
    <w:rPr>
      <w:rFonts w:ascii="Times New Roman" w:hAnsi="Times New Roman"/>
      <w:sz w:val="20"/>
      <w:szCs w:val="24"/>
    </w:rPr>
  </w:style>
  <w:style w:type="character" w:styleId="Strong">
    <w:name w:val="Strong"/>
    <w:aliases w:val="dieu,heading4,Bang_"/>
    <w:uiPriority w:val="22"/>
    <w:qFormat/>
    <w:rsid w:val="00BB4DB2"/>
    <w:rPr>
      <w:b/>
      <w:bCs/>
    </w:rPr>
  </w:style>
  <w:style w:type="character" w:customStyle="1" w:styleId="FooterChar2">
    <w:name w:val="Footer Char2"/>
    <w:aliases w:val="FooterQ Char"/>
    <w:rsid w:val="00A47F50"/>
    <w:rPr>
      <w:rFonts w:ascii=".VnTime" w:hAnsi=".VnTime"/>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8</cp:revision>
  <dcterms:created xsi:type="dcterms:W3CDTF">2015-06-04T09:05:00Z</dcterms:created>
  <dcterms:modified xsi:type="dcterms:W3CDTF">2015-06-05T09:03:00Z</dcterms:modified>
</cp:coreProperties>
</file>