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70" w:rsidRPr="008A50BD" w:rsidRDefault="00F10670" w:rsidP="00F10670">
      <w:pPr>
        <w:contextualSpacing/>
        <w:jc w:val="center"/>
        <w:rPr>
          <w:rFonts w:ascii="Cambria" w:hAnsi="Cambria" w:cs="Tahoma"/>
          <w:b/>
          <w:sz w:val="28"/>
        </w:rPr>
      </w:pPr>
      <w:r w:rsidRPr="008A50BD">
        <w:rPr>
          <w:rFonts w:ascii="Cambria" w:hAnsi="Cambria" w:cs="Tahoma"/>
          <w:b/>
          <w:sz w:val="28"/>
        </w:rPr>
        <w:t>HIỆU QUẢ CHẨN ĐOÁN VÀ ĐIỀU TRỊ CHẢY MÁU TIÊU HÓA</w:t>
      </w:r>
    </w:p>
    <w:p w:rsidR="00F10670" w:rsidRPr="008A50BD" w:rsidRDefault="00F10670" w:rsidP="00F10670">
      <w:pPr>
        <w:contextualSpacing/>
        <w:jc w:val="center"/>
        <w:rPr>
          <w:rFonts w:ascii="Cambria" w:hAnsi="Cambria" w:cs="Tahoma"/>
          <w:b/>
          <w:sz w:val="28"/>
        </w:rPr>
      </w:pPr>
      <w:r w:rsidRPr="008A50BD">
        <w:rPr>
          <w:rFonts w:ascii="Cambria" w:hAnsi="Cambria" w:cs="Tahoma"/>
          <w:b/>
          <w:sz w:val="28"/>
        </w:rPr>
        <w:t>RUỘT NON BẰNG NỘI SOI RUỘT NON BÓNG ĐƠN</w:t>
      </w:r>
    </w:p>
    <w:p w:rsidR="00F10670" w:rsidRDefault="00F10670" w:rsidP="00F10670">
      <w:pPr>
        <w:contextualSpacing/>
        <w:jc w:val="both"/>
        <w:rPr>
          <w:rFonts w:ascii="Tahoma" w:hAnsi="Tahoma" w:cs="Tahoma"/>
          <w:b/>
          <w:i/>
          <w:sz w:val="20"/>
          <w:lang w:val="vi-VN"/>
        </w:rPr>
      </w:pPr>
    </w:p>
    <w:p w:rsidR="00F10670" w:rsidRPr="00D80C25" w:rsidRDefault="00F10670" w:rsidP="00F10670">
      <w:pPr>
        <w:contextualSpacing/>
        <w:jc w:val="right"/>
        <w:rPr>
          <w:rFonts w:ascii="Times New Roman" w:hAnsi="Times New Roman"/>
          <w:b/>
        </w:rPr>
      </w:pPr>
      <w:r w:rsidRPr="00D80C25">
        <w:rPr>
          <w:rFonts w:ascii="Times New Roman" w:hAnsi="Times New Roman"/>
          <w:b/>
        </w:rPr>
        <w:t>Đỗ Anh Giang</w:t>
      </w:r>
      <w:r>
        <w:rPr>
          <w:rFonts w:ascii="Times New Roman" w:hAnsi="Times New Roman"/>
          <w:b/>
          <w:lang w:val="vi-VN"/>
        </w:rPr>
        <w:t>*</w:t>
      </w:r>
      <w:r w:rsidRPr="00D80C25">
        <w:rPr>
          <w:rFonts w:ascii="Times New Roman" w:hAnsi="Times New Roman"/>
          <w:b/>
        </w:rPr>
        <w:t>, Phạm Thị Thu Hồ</w:t>
      </w:r>
      <w:r>
        <w:rPr>
          <w:rFonts w:ascii="Times New Roman" w:hAnsi="Times New Roman"/>
          <w:b/>
          <w:lang w:val="vi-VN"/>
        </w:rPr>
        <w:t>*</w:t>
      </w:r>
      <w:r w:rsidRPr="00D80C25">
        <w:rPr>
          <w:rFonts w:ascii="Times New Roman" w:hAnsi="Times New Roman"/>
          <w:b/>
        </w:rPr>
        <w:t>, Vũ Văn Khiên</w:t>
      </w:r>
      <w:r>
        <w:rPr>
          <w:rFonts w:ascii="Times New Roman" w:hAnsi="Times New Roman"/>
          <w:b/>
          <w:lang w:val="vi-VN"/>
        </w:rPr>
        <w:t>**</w:t>
      </w:r>
      <w:r w:rsidRPr="00D80C25">
        <w:rPr>
          <w:rFonts w:ascii="Times New Roman" w:hAnsi="Times New Roman"/>
          <w:b/>
        </w:rPr>
        <w:t>và cs</w:t>
      </w:r>
    </w:p>
    <w:p w:rsidR="00F10670" w:rsidRPr="008A50BD" w:rsidRDefault="00F10670" w:rsidP="00F10670">
      <w:pPr>
        <w:pStyle w:val="ListParagraph1"/>
        <w:spacing w:after="0" w:line="240" w:lineRule="auto"/>
        <w:ind w:left="0"/>
        <w:jc w:val="both"/>
        <w:rPr>
          <w:rFonts w:cs="Tahoma"/>
          <w:b/>
          <w:sz w:val="24"/>
          <w:szCs w:val="20"/>
        </w:rPr>
      </w:pPr>
      <w:r w:rsidRPr="008A50BD">
        <w:rPr>
          <w:rFonts w:cs="Tahoma"/>
          <w:b/>
          <w:sz w:val="24"/>
          <w:szCs w:val="20"/>
        </w:rPr>
        <w:t>TÓM TẮT</w:t>
      </w:r>
      <w:r w:rsidRPr="008A50BD">
        <w:rPr>
          <w:rStyle w:val="FootnoteReference"/>
          <w:rFonts w:cs="Tahoma"/>
          <w:b/>
          <w:sz w:val="2"/>
          <w:szCs w:val="2"/>
        </w:rPr>
        <w:footnoteReference w:id="1"/>
      </w:r>
    </w:p>
    <w:p w:rsidR="00F10670" w:rsidRPr="00FF0CD2" w:rsidRDefault="00F10670" w:rsidP="00F10670">
      <w:pPr>
        <w:ind w:firstLine="360"/>
        <w:contextualSpacing/>
        <w:jc w:val="both"/>
        <w:rPr>
          <w:rFonts w:ascii="Tahoma" w:hAnsi="Tahoma" w:cs="Tahoma"/>
          <w:sz w:val="18"/>
        </w:rPr>
      </w:pPr>
      <w:r w:rsidRPr="00FF0CD2">
        <w:rPr>
          <w:rFonts w:ascii="Tahoma" w:hAnsi="Tahoma" w:cs="Tahoma"/>
          <w:b/>
          <w:sz w:val="18"/>
        </w:rPr>
        <w:t>Đối tượng và phương pháp:</w:t>
      </w:r>
      <w:r w:rsidRPr="00FF0CD2">
        <w:rPr>
          <w:rFonts w:ascii="Tahoma" w:hAnsi="Tahoma" w:cs="Tahoma"/>
          <w:sz w:val="18"/>
        </w:rPr>
        <w:t xml:space="preserve"> </w:t>
      </w:r>
      <w:r w:rsidRPr="00FF0CD2">
        <w:rPr>
          <w:rFonts w:ascii="Tahoma" w:hAnsi="Tahoma" w:cs="Tahoma"/>
          <w:sz w:val="18"/>
          <w:lang w:val="vi-VN"/>
        </w:rPr>
        <w:t xml:space="preserve">Nghiên cứu thực hiện trên 78 bệnh nhân nghi chảy máu tiêu hóa ruột  non được nội soi ruột non bóng đơn tại bệnh viện Bạch Mai trong thời gian </w:t>
      </w:r>
      <w:r w:rsidRPr="00FF0CD2">
        <w:rPr>
          <w:rFonts w:ascii="Tahoma" w:hAnsi="Tahoma" w:cs="Tahoma"/>
          <w:sz w:val="18"/>
        </w:rPr>
        <w:t>06/2011 – 06/2014</w:t>
      </w:r>
      <w:r w:rsidRPr="00FF0CD2">
        <w:rPr>
          <w:rFonts w:ascii="Tahoma" w:hAnsi="Tahoma" w:cs="Tahoma"/>
          <w:sz w:val="18"/>
          <w:lang w:val="vi-VN"/>
        </w:rPr>
        <w:t xml:space="preserve">. </w:t>
      </w:r>
    </w:p>
    <w:p w:rsidR="00F10670" w:rsidRPr="00FF0CD2" w:rsidRDefault="00F10670" w:rsidP="00F10670">
      <w:pPr>
        <w:ind w:firstLine="360"/>
        <w:contextualSpacing/>
        <w:jc w:val="both"/>
        <w:rPr>
          <w:rFonts w:ascii="Tahoma" w:hAnsi="Tahoma" w:cs="Tahoma"/>
          <w:sz w:val="18"/>
          <w:lang w:val="vi-VN"/>
        </w:rPr>
      </w:pPr>
      <w:r w:rsidRPr="00FF0CD2">
        <w:rPr>
          <w:rFonts w:ascii="Tahoma" w:hAnsi="Tahoma" w:cs="Tahoma"/>
          <w:b/>
          <w:sz w:val="18"/>
        </w:rPr>
        <w:t xml:space="preserve">Kết quả: </w:t>
      </w:r>
      <w:r w:rsidRPr="00FF0CD2">
        <w:rPr>
          <w:rFonts w:ascii="Tahoma" w:hAnsi="Tahoma" w:cs="Tahoma"/>
          <w:sz w:val="18"/>
        </w:rPr>
        <w:t>Hiệu qu</w:t>
      </w:r>
      <w:r w:rsidRPr="00FF0CD2">
        <w:rPr>
          <w:rFonts w:ascii="Tahoma" w:hAnsi="Tahoma" w:cs="Tahoma"/>
          <w:sz w:val="18"/>
          <w:lang w:val="vi-VN"/>
        </w:rPr>
        <w:t>ả chẩn đoán chảy máu tiêu hóa tại ruột non bằng nội soi ruột non bóng đơn đạt: 71,8%. Các nguyên nhân gây chảy máu tiêu hóa tại ruột non gồm: polyp (23,2%), loét ruột non (35,6%), khối u (16,0%), túi thừa Meckel’s (5,5%), dị dạng mạch máu (7,1%), túi thứa ruột non (5,5%) và viêm ruột non do ký sinh trùng (7,1%).</w:t>
      </w:r>
    </w:p>
    <w:p w:rsidR="00F10670" w:rsidRPr="00FF0CD2" w:rsidRDefault="00F10670" w:rsidP="00F10670">
      <w:pPr>
        <w:ind w:firstLine="360"/>
        <w:contextualSpacing/>
        <w:jc w:val="both"/>
        <w:rPr>
          <w:rFonts w:ascii="Tahoma" w:hAnsi="Tahoma" w:cs="Tahoma"/>
          <w:sz w:val="18"/>
        </w:rPr>
      </w:pPr>
      <w:r w:rsidRPr="00FF0CD2">
        <w:rPr>
          <w:rFonts w:ascii="Tahoma" w:hAnsi="Tahoma" w:cs="Tahoma"/>
          <w:b/>
          <w:sz w:val="18"/>
        </w:rPr>
        <w:t>Điều trị:</w:t>
      </w:r>
      <w:r w:rsidRPr="00FF0CD2">
        <w:rPr>
          <w:rFonts w:ascii="Tahoma" w:hAnsi="Tahoma" w:cs="Tahoma"/>
          <w:sz w:val="18"/>
        </w:rPr>
        <w:t xml:space="preserve"> Phẫu thuật: 12/56 (21,4%); can thiệp nội soi 17/56 (30,4%), nội khoa 27/56 (48,2%)</w:t>
      </w:r>
    </w:p>
    <w:p w:rsidR="00F10670" w:rsidRPr="00FF0CD2" w:rsidRDefault="00F10670" w:rsidP="00F10670">
      <w:pPr>
        <w:ind w:firstLine="360"/>
        <w:contextualSpacing/>
        <w:jc w:val="both"/>
        <w:rPr>
          <w:rFonts w:ascii="Tahoma" w:hAnsi="Tahoma" w:cs="Tahoma"/>
          <w:sz w:val="18"/>
        </w:rPr>
      </w:pPr>
      <w:r w:rsidRPr="00FF0CD2">
        <w:rPr>
          <w:rFonts w:ascii="Tahoma" w:hAnsi="Tahoma" w:cs="Tahoma"/>
          <w:b/>
          <w:sz w:val="18"/>
        </w:rPr>
        <w:t xml:space="preserve">Kết luận: </w:t>
      </w:r>
      <w:r w:rsidRPr="00FF0CD2">
        <w:rPr>
          <w:rFonts w:ascii="Tahoma" w:hAnsi="Tahoma" w:cs="Tahoma"/>
          <w:sz w:val="18"/>
        </w:rPr>
        <w:t>Nội soi ruột non bóng đơn là phương pháp nội soi có hiệu quả trong chẩn đoán và điều trị chảy máu tiêu hóa ruột non.</w:t>
      </w:r>
    </w:p>
    <w:p w:rsidR="00F10670" w:rsidRPr="00FF0CD2" w:rsidRDefault="00F10670" w:rsidP="00F10670">
      <w:pPr>
        <w:ind w:firstLine="360"/>
        <w:contextualSpacing/>
        <w:jc w:val="both"/>
        <w:rPr>
          <w:rFonts w:ascii="Tahoma" w:hAnsi="Tahoma" w:cs="Tahoma"/>
          <w:i/>
          <w:sz w:val="18"/>
        </w:rPr>
      </w:pPr>
      <w:r w:rsidRPr="00FF0CD2">
        <w:rPr>
          <w:rFonts w:ascii="Tahoma" w:hAnsi="Tahoma" w:cs="Tahoma"/>
          <w:b/>
          <w:i/>
          <w:sz w:val="18"/>
        </w:rPr>
        <w:t>Từ khóa:</w:t>
      </w:r>
      <w:r w:rsidRPr="00FF0CD2">
        <w:rPr>
          <w:rFonts w:ascii="Tahoma" w:hAnsi="Tahoma" w:cs="Tahoma"/>
          <w:i/>
          <w:sz w:val="18"/>
        </w:rPr>
        <w:t xml:space="preserve"> </w:t>
      </w:r>
      <w:r w:rsidRPr="00FF0CD2">
        <w:rPr>
          <w:rFonts w:ascii="Tahoma" w:hAnsi="Tahoma" w:cs="Tahoma"/>
          <w:sz w:val="18"/>
        </w:rPr>
        <w:t>Chảy máu tiêu hóa</w:t>
      </w:r>
      <w:r w:rsidRPr="00FF0CD2">
        <w:rPr>
          <w:rFonts w:ascii="Tahoma" w:hAnsi="Tahoma" w:cs="Tahoma"/>
          <w:i/>
          <w:sz w:val="18"/>
        </w:rPr>
        <w:t xml:space="preserve"> </w:t>
      </w:r>
    </w:p>
    <w:p w:rsidR="00F10670" w:rsidRDefault="00F10670" w:rsidP="00F10670">
      <w:pPr>
        <w:ind w:firstLine="720"/>
        <w:contextualSpacing/>
        <w:jc w:val="both"/>
        <w:rPr>
          <w:rFonts w:ascii="Tahoma" w:hAnsi="Tahoma" w:cs="Tahoma"/>
          <w:b/>
          <w:sz w:val="20"/>
          <w:lang w:val="vi-VN"/>
        </w:rPr>
      </w:pPr>
    </w:p>
    <w:p w:rsidR="00F10670" w:rsidRPr="008A50BD" w:rsidRDefault="00F10670" w:rsidP="00F10670">
      <w:pPr>
        <w:contextualSpacing/>
        <w:jc w:val="both"/>
        <w:rPr>
          <w:rFonts w:ascii="Calibri" w:hAnsi="Calibri" w:cs="Tahoma"/>
          <w:b/>
          <w:lang w:val="vi-VN"/>
        </w:rPr>
      </w:pPr>
      <w:r w:rsidRPr="008A50BD">
        <w:rPr>
          <w:rFonts w:ascii="Calibri" w:hAnsi="Calibri" w:cs="Tahoma"/>
          <w:b/>
          <w:lang w:val="vi-VN"/>
        </w:rPr>
        <w:t>SUMMARY</w:t>
      </w:r>
    </w:p>
    <w:p w:rsidR="00F10670" w:rsidRDefault="00F10670" w:rsidP="00F10670">
      <w:pPr>
        <w:contextualSpacing/>
        <w:jc w:val="center"/>
        <w:rPr>
          <w:rFonts w:ascii="Tahoma" w:hAnsi="Tahoma" w:cs="Tahoma"/>
          <w:b/>
          <w:sz w:val="20"/>
        </w:rPr>
      </w:pPr>
      <w:r w:rsidRPr="00D80C25">
        <w:rPr>
          <w:rFonts w:ascii="Tahoma" w:hAnsi="Tahoma" w:cs="Tahoma"/>
          <w:b/>
          <w:sz w:val="20"/>
        </w:rPr>
        <w:t>DIAGNOSTIC YIELD AND</w:t>
      </w:r>
    </w:p>
    <w:p w:rsidR="00F10670" w:rsidRDefault="00F10670" w:rsidP="00F10670">
      <w:pPr>
        <w:contextualSpacing/>
        <w:jc w:val="center"/>
        <w:rPr>
          <w:rFonts w:ascii="Tahoma" w:hAnsi="Tahoma" w:cs="Tahoma"/>
          <w:b/>
          <w:sz w:val="20"/>
        </w:rPr>
      </w:pPr>
      <w:r w:rsidRPr="00D80C25">
        <w:rPr>
          <w:rFonts w:ascii="Tahoma" w:hAnsi="Tahoma" w:cs="Tahoma"/>
          <w:b/>
          <w:sz w:val="20"/>
        </w:rPr>
        <w:t xml:space="preserve">THERAPEUTIC </w:t>
      </w:r>
      <w:r w:rsidRPr="00D80C25">
        <w:rPr>
          <w:rFonts w:ascii="Tahoma" w:hAnsi="Tahoma" w:cs="Tahoma"/>
          <w:b/>
          <w:sz w:val="20"/>
          <w:lang w:val="vi-VN"/>
        </w:rPr>
        <w:t>IMPACT</w:t>
      </w:r>
      <w:r w:rsidRPr="00D80C25">
        <w:rPr>
          <w:rFonts w:ascii="Tahoma" w:hAnsi="Tahoma" w:cs="Tahoma"/>
          <w:b/>
          <w:sz w:val="20"/>
        </w:rPr>
        <w:t xml:space="preserve"> OF SINGLE- BALOON ENTERSCOPY IN PATIENTS</w:t>
      </w:r>
    </w:p>
    <w:p w:rsidR="00F10670" w:rsidRPr="00D80C25" w:rsidRDefault="00F10670" w:rsidP="00F10670">
      <w:pPr>
        <w:contextualSpacing/>
        <w:jc w:val="center"/>
        <w:rPr>
          <w:rFonts w:ascii="Tahoma" w:hAnsi="Tahoma" w:cs="Tahoma"/>
          <w:sz w:val="20"/>
        </w:rPr>
      </w:pPr>
      <w:r w:rsidRPr="00D80C25">
        <w:rPr>
          <w:rFonts w:ascii="Tahoma" w:hAnsi="Tahoma" w:cs="Tahoma"/>
          <w:b/>
          <w:sz w:val="20"/>
        </w:rPr>
        <w:t>WITH SMALL BOWEL BLEEDING</w:t>
      </w:r>
    </w:p>
    <w:p w:rsidR="00F10670" w:rsidRPr="00FF0CD2" w:rsidRDefault="00F10670" w:rsidP="00F10670">
      <w:pPr>
        <w:ind w:firstLine="360"/>
        <w:contextualSpacing/>
        <w:jc w:val="both"/>
        <w:rPr>
          <w:rFonts w:ascii="Tahoma" w:hAnsi="Tahoma" w:cs="Tahoma"/>
          <w:sz w:val="18"/>
        </w:rPr>
      </w:pPr>
      <w:r w:rsidRPr="00FF0CD2">
        <w:rPr>
          <w:rFonts w:ascii="Tahoma" w:hAnsi="Tahoma" w:cs="Tahoma"/>
          <w:b/>
          <w:sz w:val="18"/>
          <w:lang w:val="vi-VN"/>
        </w:rPr>
        <w:t>Patients and Methods</w:t>
      </w:r>
      <w:r w:rsidRPr="00FF0CD2">
        <w:rPr>
          <w:rFonts w:ascii="Tahoma" w:hAnsi="Tahoma" w:cs="Tahoma"/>
          <w:sz w:val="18"/>
          <w:lang w:val="vi-VN"/>
        </w:rPr>
        <w:t>: The study involved 78 patients in whom SBE was performed for small bowel bleeding at Bach Mai Hospital during the period June 2011 through June 2014. All patients had already undergone standard upper-GI and lower-GI endoscopy at hospital.</w:t>
      </w:r>
    </w:p>
    <w:p w:rsidR="00F10670" w:rsidRPr="00FF0CD2" w:rsidRDefault="00F10670" w:rsidP="00F10670">
      <w:pPr>
        <w:ind w:firstLine="360"/>
        <w:contextualSpacing/>
        <w:jc w:val="both"/>
        <w:rPr>
          <w:rFonts w:ascii="Tahoma" w:hAnsi="Tahoma" w:cs="Tahoma"/>
          <w:sz w:val="18"/>
        </w:rPr>
      </w:pPr>
      <w:r w:rsidRPr="00FF0CD2">
        <w:rPr>
          <w:rFonts w:ascii="Tahoma" w:hAnsi="Tahoma" w:cs="Tahoma"/>
          <w:b/>
          <w:sz w:val="18"/>
        </w:rPr>
        <w:t xml:space="preserve">Results: </w:t>
      </w:r>
      <w:r w:rsidRPr="00FF0CD2">
        <w:rPr>
          <w:rFonts w:ascii="Tahoma" w:hAnsi="Tahoma" w:cs="Tahoma"/>
          <w:sz w:val="18"/>
        </w:rPr>
        <w:t>Efficient diagnosis of small bowel bleeding by small bowel endoscopy were 71.8%</w:t>
      </w:r>
      <w:r w:rsidRPr="00FF0CD2">
        <w:rPr>
          <w:rFonts w:ascii="Tahoma" w:hAnsi="Tahoma" w:cs="Tahoma"/>
          <w:sz w:val="18"/>
          <w:lang w:val="vi-VN"/>
        </w:rPr>
        <w:t xml:space="preserve">. </w:t>
      </w:r>
      <w:r w:rsidRPr="00FF0CD2">
        <w:rPr>
          <w:rFonts w:ascii="Tahoma" w:hAnsi="Tahoma" w:cs="Tahoma"/>
          <w:sz w:val="18"/>
        </w:rPr>
        <w:t>The source of bleeding identified in the small bowel were as follows: polyp (</w:t>
      </w:r>
      <w:r w:rsidRPr="00FF0CD2">
        <w:rPr>
          <w:rFonts w:ascii="Tahoma" w:hAnsi="Tahoma" w:cs="Tahoma"/>
          <w:sz w:val="18"/>
          <w:lang w:val="vi-VN"/>
        </w:rPr>
        <w:t>23</w:t>
      </w:r>
      <w:r w:rsidRPr="00FF0CD2">
        <w:rPr>
          <w:rFonts w:ascii="Tahoma" w:hAnsi="Tahoma" w:cs="Tahoma"/>
          <w:sz w:val="18"/>
        </w:rPr>
        <w:t>.</w:t>
      </w:r>
      <w:r w:rsidRPr="00FF0CD2">
        <w:rPr>
          <w:rFonts w:ascii="Tahoma" w:hAnsi="Tahoma" w:cs="Tahoma"/>
          <w:sz w:val="18"/>
          <w:lang w:val="vi-VN"/>
        </w:rPr>
        <w:t xml:space="preserve">2%), </w:t>
      </w:r>
      <w:r w:rsidRPr="00FF0CD2">
        <w:rPr>
          <w:rFonts w:ascii="Tahoma" w:hAnsi="Tahoma" w:cs="Tahoma"/>
          <w:sz w:val="18"/>
        </w:rPr>
        <w:t xml:space="preserve">ulcerative lesion (35.6%), tumor </w:t>
      </w:r>
      <w:r w:rsidRPr="00FF0CD2">
        <w:rPr>
          <w:rFonts w:ascii="Tahoma" w:hAnsi="Tahoma" w:cs="Tahoma"/>
          <w:sz w:val="18"/>
          <w:lang w:val="vi-VN"/>
        </w:rPr>
        <w:t>(16</w:t>
      </w:r>
      <w:r w:rsidRPr="00FF0CD2">
        <w:rPr>
          <w:rFonts w:ascii="Tahoma" w:hAnsi="Tahoma" w:cs="Tahoma"/>
          <w:sz w:val="18"/>
        </w:rPr>
        <w:t>.</w:t>
      </w:r>
      <w:r w:rsidRPr="00FF0CD2">
        <w:rPr>
          <w:rFonts w:ascii="Tahoma" w:hAnsi="Tahoma" w:cs="Tahoma"/>
          <w:sz w:val="18"/>
          <w:lang w:val="vi-VN"/>
        </w:rPr>
        <w:t>0%), Meckel’s</w:t>
      </w:r>
      <w:r w:rsidRPr="00FF0CD2">
        <w:rPr>
          <w:rFonts w:ascii="Tahoma" w:hAnsi="Tahoma" w:cs="Tahoma"/>
          <w:sz w:val="18"/>
        </w:rPr>
        <w:t xml:space="preserve"> diverticulum </w:t>
      </w:r>
      <w:r w:rsidRPr="00FF0CD2">
        <w:rPr>
          <w:rFonts w:ascii="Tahoma" w:hAnsi="Tahoma" w:cs="Tahoma"/>
          <w:sz w:val="18"/>
          <w:lang w:val="vi-VN"/>
        </w:rPr>
        <w:t>(5</w:t>
      </w:r>
      <w:r w:rsidRPr="00FF0CD2">
        <w:rPr>
          <w:rFonts w:ascii="Tahoma" w:hAnsi="Tahoma" w:cs="Tahoma"/>
          <w:sz w:val="18"/>
        </w:rPr>
        <w:t>.</w:t>
      </w:r>
      <w:r w:rsidRPr="00FF0CD2">
        <w:rPr>
          <w:rFonts w:ascii="Tahoma" w:hAnsi="Tahoma" w:cs="Tahoma"/>
          <w:sz w:val="18"/>
          <w:lang w:val="vi-VN"/>
        </w:rPr>
        <w:t xml:space="preserve">5%), </w:t>
      </w:r>
      <w:r w:rsidRPr="00FF0CD2">
        <w:rPr>
          <w:rFonts w:ascii="Tahoma" w:hAnsi="Tahoma" w:cs="Tahoma"/>
          <w:sz w:val="18"/>
        </w:rPr>
        <w:t xml:space="preserve">vascular lesion </w:t>
      </w:r>
      <w:r w:rsidRPr="00FF0CD2">
        <w:rPr>
          <w:rFonts w:ascii="Tahoma" w:hAnsi="Tahoma" w:cs="Tahoma"/>
          <w:sz w:val="18"/>
          <w:lang w:val="vi-VN"/>
        </w:rPr>
        <w:t>(7</w:t>
      </w:r>
      <w:r w:rsidRPr="00FF0CD2">
        <w:rPr>
          <w:rFonts w:ascii="Tahoma" w:hAnsi="Tahoma" w:cs="Tahoma"/>
          <w:sz w:val="18"/>
        </w:rPr>
        <w:t>.</w:t>
      </w:r>
      <w:r w:rsidRPr="00FF0CD2">
        <w:rPr>
          <w:rFonts w:ascii="Tahoma" w:hAnsi="Tahoma" w:cs="Tahoma"/>
          <w:sz w:val="18"/>
          <w:lang w:val="vi-VN"/>
        </w:rPr>
        <w:t xml:space="preserve">1%), </w:t>
      </w:r>
      <w:r w:rsidRPr="00FF0CD2">
        <w:rPr>
          <w:rStyle w:val="hps"/>
          <w:rFonts w:ascii="Tahoma" w:hAnsi="Tahoma" w:cs="Tahoma"/>
          <w:sz w:val="18"/>
          <w:lang w:val="en"/>
        </w:rPr>
        <w:t>small bowel</w:t>
      </w:r>
      <w:r w:rsidRPr="00FF0CD2">
        <w:rPr>
          <w:rFonts w:ascii="Tahoma" w:hAnsi="Tahoma" w:cs="Tahoma"/>
          <w:sz w:val="18"/>
          <w:lang w:val="en"/>
        </w:rPr>
        <w:t xml:space="preserve"> </w:t>
      </w:r>
      <w:r w:rsidRPr="00FF0CD2">
        <w:rPr>
          <w:rStyle w:val="hps"/>
          <w:rFonts w:ascii="Tahoma" w:hAnsi="Tahoma" w:cs="Tahoma"/>
          <w:sz w:val="18"/>
          <w:lang w:val="en"/>
        </w:rPr>
        <w:t>diverticulosis</w:t>
      </w:r>
      <w:r w:rsidRPr="00FF0CD2">
        <w:rPr>
          <w:rFonts w:ascii="Tahoma" w:hAnsi="Tahoma" w:cs="Tahoma"/>
          <w:sz w:val="18"/>
          <w:lang w:val="en"/>
        </w:rPr>
        <w:t xml:space="preserve"> </w:t>
      </w:r>
      <w:r w:rsidRPr="00FF0CD2">
        <w:rPr>
          <w:rStyle w:val="hps"/>
          <w:rFonts w:ascii="Tahoma" w:hAnsi="Tahoma" w:cs="Tahoma"/>
          <w:sz w:val="18"/>
          <w:lang w:val="en"/>
        </w:rPr>
        <w:t>(</w:t>
      </w:r>
      <w:r w:rsidRPr="00FF0CD2">
        <w:rPr>
          <w:rFonts w:ascii="Tahoma" w:hAnsi="Tahoma" w:cs="Tahoma"/>
          <w:sz w:val="18"/>
          <w:lang w:val="en"/>
        </w:rPr>
        <w:t xml:space="preserve">5.5%) </w:t>
      </w:r>
      <w:r w:rsidRPr="00FF0CD2">
        <w:rPr>
          <w:rStyle w:val="hps"/>
          <w:rFonts w:ascii="Tahoma" w:hAnsi="Tahoma" w:cs="Tahoma"/>
          <w:sz w:val="18"/>
          <w:lang w:val="en"/>
        </w:rPr>
        <w:t>and</w:t>
      </w:r>
      <w:r w:rsidRPr="00FF0CD2">
        <w:rPr>
          <w:rFonts w:ascii="Tahoma" w:hAnsi="Tahoma" w:cs="Tahoma"/>
          <w:sz w:val="18"/>
          <w:lang w:val="en"/>
        </w:rPr>
        <w:t xml:space="preserve"> </w:t>
      </w:r>
      <w:r w:rsidRPr="00FF0CD2">
        <w:rPr>
          <w:rStyle w:val="hps"/>
          <w:rFonts w:ascii="Tahoma" w:hAnsi="Tahoma" w:cs="Tahoma"/>
          <w:sz w:val="18"/>
          <w:lang w:val="en"/>
        </w:rPr>
        <w:t>inflammation of</w:t>
      </w:r>
      <w:r w:rsidRPr="00FF0CD2">
        <w:rPr>
          <w:rFonts w:ascii="Tahoma" w:hAnsi="Tahoma" w:cs="Tahoma"/>
          <w:sz w:val="18"/>
          <w:lang w:val="en"/>
        </w:rPr>
        <w:t xml:space="preserve"> </w:t>
      </w:r>
      <w:r w:rsidRPr="00FF0CD2">
        <w:rPr>
          <w:rStyle w:val="hps"/>
          <w:rFonts w:ascii="Tahoma" w:hAnsi="Tahoma" w:cs="Tahoma"/>
          <w:sz w:val="18"/>
          <w:lang w:val="en"/>
        </w:rPr>
        <w:t>small bowel</w:t>
      </w:r>
      <w:r w:rsidRPr="00FF0CD2">
        <w:rPr>
          <w:rFonts w:ascii="Tahoma" w:hAnsi="Tahoma" w:cs="Tahoma"/>
          <w:sz w:val="18"/>
          <w:lang w:val="en"/>
        </w:rPr>
        <w:t xml:space="preserve"> </w:t>
      </w:r>
      <w:r w:rsidRPr="00FF0CD2">
        <w:rPr>
          <w:rStyle w:val="hps"/>
          <w:rFonts w:ascii="Tahoma" w:hAnsi="Tahoma" w:cs="Tahoma"/>
          <w:sz w:val="18"/>
          <w:lang w:val="en"/>
        </w:rPr>
        <w:t>caused by</w:t>
      </w:r>
      <w:r w:rsidRPr="00FF0CD2">
        <w:rPr>
          <w:rFonts w:ascii="Tahoma" w:hAnsi="Tahoma" w:cs="Tahoma"/>
          <w:sz w:val="18"/>
          <w:lang w:val="en"/>
        </w:rPr>
        <w:t xml:space="preserve"> </w:t>
      </w:r>
      <w:r w:rsidRPr="00FF0CD2">
        <w:rPr>
          <w:rStyle w:val="hps"/>
          <w:rFonts w:ascii="Tahoma" w:hAnsi="Tahoma" w:cs="Tahoma"/>
          <w:sz w:val="18"/>
          <w:lang w:val="en"/>
        </w:rPr>
        <w:t>the parasite</w:t>
      </w:r>
      <w:r w:rsidRPr="00FF0CD2">
        <w:rPr>
          <w:rFonts w:ascii="Tahoma" w:hAnsi="Tahoma" w:cs="Tahoma"/>
          <w:sz w:val="18"/>
          <w:lang w:val="en"/>
        </w:rPr>
        <w:t xml:space="preserve"> </w:t>
      </w:r>
      <w:r w:rsidRPr="00FF0CD2">
        <w:rPr>
          <w:rStyle w:val="hps"/>
          <w:rFonts w:ascii="Tahoma" w:hAnsi="Tahoma" w:cs="Tahoma"/>
          <w:sz w:val="18"/>
          <w:lang w:val="en"/>
        </w:rPr>
        <w:t>(</w:t>
      </w:r>
      <w:r w:rsidRPr="00FF0CD2">
        <w:rPr>
          <w:rFonts w:ascii="Tahoma" w:hAnsi="Tahoma" w:cs="Tahoma"/>
          <w:sz w:val="18"/>
          <w:lang w:val="en"/>
        </w:rPr>
        <w:t>7.1%).</w:t>
      </w:r>
      <w:r w:rsidRPr="00FF0CD2">
        <w:rPr>
          <w:rFonts w:ascii="Tahoma" w:hAnsi="Tahoma" w:cs="Tahoma"/>
          <w:sz w:val="18"/>
        </w:rPr>
        <w:t xml:space="preserve"> The treatment were as follows: medical treatment (48.2%), endoscopic treatment (30.4%) and surgery (21.4%).</w:t>
      </w:r>
    </w:p>
    <w:p w:rsidR="00F10670" w:rsidRPr="00FF0CD2" w:rsidRDefault="00F10670" w:rsidP="00F10670">
      <w:pPr>
        <w:ind w:firstLine="360"/>
        <w:contextualSpacing/>
        <w:jc w:val="both"/>
        <w:rPr>
          <w:rFonts w:ascii="Tahoma" w:hAnsi="Tahoma" w:cs="Tahoma"/>
          <w:b/>
          <w:sz w:val="18"/>
        </w:rPr>
      </w:pPr>
      <w:r w:rsidRPr="00FF0CD2">
        <w:rPr>
          <w:rStyle w:val="hps"/>
          <w:rFonts w:ascii="Tahoma" w:hAnsi="Tahoma" w:cs="Tahoma"/>
          <w:b/>
          <w:sz w:val="18"/>
          <w:lang w:val="en"/>
        </w:rPr>
        <w:t>Conclusion:</w:t>
      </w:r>
      <w:r w:rsidRPr="00FF0CD2">
        <w:rPr>
          <w:rFonts w:ascii="Tahoma" w:hAnsi="Tahoma" w:cs="Tahoma"/>
          <w:sz w:val="18"/>
          <w:lang w:val="en"/>
        </w:rPr>
        <w:t xml:space="preserve"> </w:t>
      </w:r>
      <w:r w:rsidRPr="00FF0CD2">
        <w:rPr>
          <w:rStyle w:val="hps"/>
          <w:rFonts w:ascii="Tahoma" w:hAnsi="Tahoma" w:cs="Tahoma"/>
          <w:sz w:val="18"/>
          <w:lang w:val="en"/>
        </w:rPr>
        <w:t>Endoscopic</w:t>
      </w:r>
      <w:r w:rsidRPr="00FF0CD2">
        <w:rPr>
          <w:rFonts w:ascii="Tahoma" w:hAnsi="Tahoma" w:cs="Tahoma"/>
          <w:sz w:val="18"/>
          <w:lang w:val="en"/>
        </w:rPr>
        <w:t xml:space="preserve"> </w:t>
      </w:r>
      <w:r w:rsidRPr="00FF0CD2">
        <w:rPr>
          <w:rStyle w:val="hps"/>
          <w:rFonts w:ascii="Tahoma" w:hAnsi="Tahoma" w:cs="Tahoma"/>
          <w:sz w:val="18"/>
          <w:lang w:val="en"/>
        </w:rPr>
        <w:t>small bowel</w:t>
      </w:r>
      <w:r w:rsidRPr="00FF0CD2">
        <w:rPr>
          <w:rFonts w:ascii="Tahoma" w:hAnsi="Tahoma" w:cs="Tahoma"/>
          <w:sz w:val="18"/>
          <w:lang w:val="en"/>
        </w:rPr>
        <w:t xml:space="preserve"> </w:t>
      </w:r>
      <w:r w:rsidRPr="00FF0CD2">
        <w:rPr>
          <w:rStyle w:val="hps"/>
          <w:rFonts w:ascii="Tahoma" w:hAnsi="Tahoma" w:cs="Tahoma"/>
          <w:sz w:val="18"/>
          <w:lang w:val="en"/>
        </w:rPr>
        <w:t>is highly effective</w:t>
      </w:r>
      <w:r w:rsidRPr="00FF0CD2">
        <w:rPr>
          <w:rFonts w:ascii="Tahoma" w:hAnsi="Tahoma" w:cs="Tahoma"/>
          <w:sz w:val="18"/>
          <w:lang w:val="en"/>
        </w:rPr>
        <w:t xml:space="preserve"> </w:t>
      </w:r>
      <w:r w:rsidRPr="00FF0CD2">
        <w:rPr>
          <w:rStyle w:val="hps"/>
          <w:rFonts w:ascii="Tahoma" w:hAnsi="Tahoma" w:cs="Tahoma"/>
          <w:sz w:val="18"/>
          <w:lang w:val="en"/>
        </w:rPr>
        <w:t>in the diagnosis</w:t>
      </w:r>
      <w:r w:rsidRPr="00FF0CD2">
        <w:rPr>
          <w:rFonts w:ascii="Tahoma" w:hAnsi="Tahoma" w:cs="Tahoma"/>
          <w:sz w:val="18"/>
          <w:lang w:val="en"/>
        </w:rPr>
        <w:t xml:space="preserve"> </w:t>
      </w:r>
      <w:r w:rsidRPr="00FF0CD2">
        <w:rPr>
          <w:rStyle w:val="hps"/>
          <w:rFonts w:ascii="Tahoma" w:hAnsi="Tahoma" w:cs="Tahoma"/>
          <w:sz w:val="18"/>
          <w:lang w:val="en"/>
        </w:rPr>
        <w:t>and</w:t>
      </w:r>
      <w:r w:rsidRPr="00FF0CD2">
        <w:rPr>
          <w:rFonts w:ascii="Tahoma" w:hAnsi="Tahoma" w:cs="Tahoma"/>
          <w:sz w:val="18"/>
          <w:lang w:val="en"/>
        </w:rPr>
        <w:t xml:space="preserve"> </w:t>
      </w:r>
      <w:r w:rsidRPr="00FF0CD2">
        <w:rPr>
          <w:rStyle w:val="hps"/>
          <w:rFonts w:ascii="Tahoma" w:hAnsi="Tahoma" w:cs="Tahoma"/>
          <w:sz w:val="18"/>
          <w:lang w:val="en"/>
        </w:rPr>
        <w:t>treatment</w:t>
      </w:r>
      <w:r w:rsidRPr="00FF0CD2">
        <w:rPr>
          <w:rFonts w:ascii="Tahoma" w:hAnsi="Tahoma" w:cs="Tahoma"/>
          <w:sz w:val="18"/>
          <w:lang w:val="en"/>
        </w:rPr>
        <w:t xml:space="preserve"> </w:t>
      </w:r>
      <w:r w:rsidRPr="00FF0CD2">
        <w:rPr>
          <w:rStyle w:val="hps"/>
          <w:rFonts w:ascii="Tahoma" w:hAnsi="Tahoma" w:cs="Tahoma"/>
          <w:sz w:val="18"/>
          <w:lang w:val="en"/>
        </w:rPr>
        <w:t>of</w:t>
      </w:r>
      <w:r w:rsidRPr="00FF0CD2">
        <w:rPr>
          <w:rFonts w:ascii="Tahoma" w:hAnsi="Tahoma" w:cs="Tahoma"/>
          <w:sz w:val="18"/>
          <w:lang w:val="en"/>
        </w:rPr>
        <w:t xml:space="preserve"> </w:t>
      </w:r>
      <w:r w:rsidRPr="00FF0CD2">
        <w:rPr>
          <w:rStyle w:val="hps"/>
          <w:rFonts w:ascii="Tahoma" w:hAnsi="Tahoma" w:cs="Tahoma"/>
          <w:sz w:val="18"/>
          <w:lang w:val="en"/>
        </w:rPr>
        <w:t>patients with</w:t>
      </w:r>
      <w:r w:rsidRPr="00FF0CD2">
        <w:rPr>
          <w:rFonts w:ascii="Tahoma" w:hAnsi="Tahoma" w:cs="Tahoma"/>
          <w:sz w:val="18"/>
          <w:lang w:val="en"/>
        </w:rPr>
        <w:t xml:space="preserve"> </w:t>
      </w:r>
      <w:r w:rsidRPr="00FF0CD2">
        <w:rPr>
          <w:rStyle w:val="hps"/>
          <w:rFonts w:ascii="Tahoma" w:hAnsi="Tahoma" w:cs="Tahoma"/>
          <w:sz w:val="18"/>
          <w:lang w:val="en"/>
        </w:rPr>
        <w:t>small bowel bleeding.</w:t>
      </w:r>
      <w:r w:rsidRPr="00FF0CD2">
        <w:rPr>
          <w:rFonts w:ascii="Tahoma" w:hAnsi="Tahoma" w:cs="Tahoma"/>
          <w:sz w:val="18"/>
          <w:lang w:val="en"/>
        </w:rPr>
        <w:t>.</w:t>
      </w:r>
    </w:p>
    <w:p w:rsidR="007C6360" w:rsidRPr="00F10670" w:rsidRDefault="007C6360" w:rsidP="00F10670"/>
    <w:sectPr w:rsidR="007C6360" w:rsidRPr="00F1067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46" w:rsidRDefault="00244C46" w:rsidP="00CB69C0">
      <w:r>
        <w:separator/>
      </w:r>
    </w:p>
  </w:endnote>
  <w:endnote w:type="continuationSeparator" w:id="0">
    <w:p w:rsidR="00244C46" w:rsidRDefault="00244C46"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46" w:rsidRDefault="00244C46" w:rsidP="00CB69C0">
      <w:r>
        <w:separator/>
      </w:r>
    </w:p>
  </w:footnote>
  <w:footnote w:type="continuationSeparator" w:id="0">
    <w:p w:rsidR="00244C46" w:rsidRDefault="00244C46" w:rsidP="00CB69C0">
      <w:r>
        <w:continuationSeparator/>
      </w:r>
    </w:p>
  </w:footnote>
  <w:footnote w:id="1">
    <w:p w:rsidR="00F10670" w:rsidRPr="008A50BD" w:rsidRDefault="00F10670" w:rsidP="00F10670">
      <w:pPr>
        <w:contextualSpacing/>
        <w:jc w:val="both"/>
        <w:rPr>
          <w:rFonts w:ascii="Calibri" w:hAnsi="Calibri" w:cs="Tahoma"/>
          <w:color w:val="000000"/>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244C46"/>
    <w:rsid w:val="007C6360"/>
    <w:rsid w:val="00A32B15"/>
    <w:rsid w:val="00C35A2E"/>
    <w:rsid w:val="00CB69C0"/>
    <w:rsid w:val="00E4797B"/>
    <w:rsid w:val="00EE3F34"/>
    <w:rsid w:val="00F106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character" w:customStyle="1" w:styleId="hps">
    <w:name w:val="hps"/>
    <w:basedOn w:val="DefaultParagraphFont"/>
    <w:rsid w:val="00F10670"/>
  </w:style>
  <w:style w:type="paragraph" w:customStyle="1" w:styleId="ListParagraph1">
    <w:name w:val="List Paragraph1"/>
    <w:aliases w:val="Heading 41"/>
    <w:basedOn w:val="Normal"/>
    <w:link w:val="ListParagraphChar"/>
    <w:uiPriority w:val="34"/>
    <w:qFormat/>
    <w:rsid w:val="00F1067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F1067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2015-06-04T08:50:00Z</dcterms:created>
  <dcterms:modified xsi:type="dcterms:W3CDTF">2015-06-05T08:31:00Z</dcterms:modified>
</cp:coreProperties>
</file>