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A2" w:rsidRPr="00995769" w:rsidRDefault="00880DA2" w:rsidP="00880DA2">
      <w:pPr>
        <w:contextualSpacing/>
        <w:jc w:val="center"/>
        <w:rPr>
          <w:rFonts w:ascii="Cambria" w:hAnsi="Cambria" w:cs="Tahoma"/>
          <w:b/>
          <w:sz w:val="28"/>
          <w:szCs w:val="28"/>
        </w:rPr>
      </w:pPr>
      <w:r w:rsidRPr="00995769">
        <w:rPr>
          <w:rFonts w:ascii="Cambria" w:hAnsi="Cambria" w:cs="Tahoma"/>
          <w:b/>
          <w:sz w:val="28"/>
          <w:szCs w:val="28"/>
        </w:rPr>
        <w:t>CHẢY MÁU TIÊU HÓA TRÊN Ở BỆNH NHÂN XƠ GAN:</w:t>
      </w:r>
    </w:p>
    <w:p w:rsidR="00880DA2" w:rsidRPr="00995769" w:rsidRDefault="00880DA2" w:rsidP="00880DA2">
      <w:pPr>
        <w:contextualSpacing/>
        <w:jc w:val="center"/>
        <w:rPr>
          <w:rFonts w:ascii="Cambria" w:hAnsi="Cambria" w:cs="Tahoma"/>
          <w:b/>
          <w:sz w:val="28"/>
          <w:szCs w:val="28"/>
        </w:rPr>
      </w:pPr>
      <w:r w:rsidRPr="00995769">
        <w:rPr>
          <w:rFonts w:ascii="Cambria" w:hAnsi="Cambria" w:cs="Tahoma"/>
          <w:b/>
          <w:sz w:val="28"/>
          <w:szCs w:val="28"/>
        </w:rPr>
        <w:t xml:space="preserve">HIỆU QUẢ </w:t>
      </w:r>
      <w:r w:rsidRPr="00995769">
        <w:rPr>
          <w:rFonts w:ascii="Cambria" w:hAnsi="Cambria" w:cs="Tahoma"/>
          <w:b/>
          <w:sz w:val="28"/>
          <w:szCs w:val="28"/>
          <w:lang w:val="vi-VN"/>
        </w:rPr>
        <w:t xml:space="preserve">ĐIỀU TRỊ </w:t>
      </w:r>
      <w:r w:rsidRPr="00995769">
        <w:rPr>
          <w:rFonts w:ascii="Cambria" w:hAnsi="Cambria" w:cs="Tahoma"/>
          <w:b/>
          <w:sz w:val="28"/>
          <w:szCs w:val="28"/>
        </w:rPr>
        <w:t xml:space="preserve">VÀ TIÊN LƯỢNG </w:t>
      </w:r>
      <w:r w:rsidRPr="00995769">
        <w:rPr>
          <w:rFonts w:ascii="Cambria" w:hAnsi="Cambria" w:cs="Tahoma"/>
          <w:b/>
          <w:sz w:val="28"/>
          <w:szCs w:val="28"/>
          <w:lang w:val="vi-VN"/>
        </w:rPr>
        <w:t>BỆNH</w:t>
      </w:r>
    </w:p>
    <w:p w:rsidR="00880DA2" w:rsidRDefault="00880DA2" w:rsidP="00880DA2">
      <w:pPr>
        <w:contextualSpacing/>
        <w:jc w:val="both"/>
        <w:rPr>
          <w:rFonts w:ascii="Tahoma" w:hAnsi="Tahoma" w:cs="Tahoma"/>
          <w:b/>
          <w:i/>
          <w:sz w:val="20"/>
          <w:lang w:val="vi-VN"/>
        </w:rPr>
      </w:pPr>
    </w:p>
    <w:p w:rsidR="00880DA2" w:rsidRPr="006E755A" w:rsidRDefault="00880DA2" w:rsidP="00880DA2">
      <w:pPr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Mã Phước Nguyên*, Vũ Văn Khiên*</w:t>
      </w:r>
    </w:p>
    <w:p w:rsidR="00880DA2" w:rsidRPr="00995769" w:rsidRDefault="00880DA2" w:rsidP="00880DA2">
      <w:pPr>
        <w:contextualSpacing/>
        <w:jc w:val="both"/>
        <w:rPr>
          <w:rFonts w:ascii="Calibri" w:hAnsi="Calibri" w:cs="Tahoma"/>
          <w:b/>
          <w:lang w:val="vi-VN"/>
        </w:rPr>
      </w:pPr>
      <w:r w:rsidRPr="00995769">
        <w:rPr>
          <w:rFonts w:ascii="Calibri" w:hAnsi="Calibri" w:cs="Tahoma"/>
          <w:b/>
          <w:lang w:val="vi-VN"/>
        </w:rPr>
        <w:t>TÓM TẮT</w:t>
      </w:r>
      <w:r w:rsidRPr="00995769">
        <w:rPr>
          <w:rStyle w:val="FootnoteReference"/>
          <w:rFonts w:ascii="Calibri" w:hAnsi="Calibri" w:cs="Tahoma"/>
          <w:b/>
          <w:sz w:val="2"/>
          <w:szCs w:val="2"/>
          <w:lang w:val="vi-VN"/>
        </w:rPr>
        <w:footnoteReference w:id="1"/>
      </w:r>
      <w:r w:rsidRPr="00995769">
        <w:rPr>
          <w:rFonts w:ascii="Calibri" w:hAnsi="Calibri" w:cs="Tahoma"/>
          <w:b/>
          <w:sz w:val="2"/>
          <w:szCs w:val="2"/>
          <w:lang w:val="vi-VN"/>
        </w:rPr>
        <w:t xml:space="preserve"> </w:t>
      </w:r>
    </w:p>
    <w:p w:rsidR="00880DA2" w:rsidRPr="00704DA3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spacing w:val="-2"/>
          <w:sz w:val="18"/>
        </w:rPr>
      </w:pPr>
      <w:r w:rsidRPr="00DC5D16">
        <w:rPr>
          <w:rFonts w:ascii="Tahoma" w:hAnsi="Tahoma" w:cs="Tahoma"/>
          <w:b/>
          <w:spacing w:val="-2"/>
          <w:sz w:val="18"/>
        </w:rPr>
        <w:t>Mục tiêu:</w:t>
      </w:r>
      <w:r w:rsidRPr="00DC5D16">
        <w:rPr>
          <w:rFonts w:ascii="Tahoma" w:hAnsi="Tahoma" w:cs="Tahoma"/>
          <w:b/>
          <w:i/>
          <w:spacing w:val="-2"/>
          <w:sz w:val="18"/>
        </w:rPr>
        <w:t xml:space="preserve"> </w:t>
      </w:r>
      <w:r w:rsidRPr="00DC5D16">
        <w:rPr>
          <w:rFonts w:ascii="Tahoma" w:hAnsi="Tahoma" w:cs="Tahoma"/>
          <w:spacing w:val="-2"/>
          <w:sz w:val="18"/>
        </w:rPr>
        <w:t xml:space="preserve">Tổng kết kinh nghiệm điều trị CMTH do giãn vỡ TMTQ; Xác định các yếu tố đánh giá về nguy cơ tử vong trong 6 tuần và tỷ lệ CMTH tái phát sau 5 ngày ở bệnh nhân xơ gan có CMTH do giãn vỡ TMTQ. </w:t>
      </w:r>
      <w:r>
        <w:rPr>
          <w:rFonts w:ascii="Tahoma" w:hAnsi="Tahoma" w:cs="Tahoma"/>
          <w:spacing w:val="-2"/>
          <w:sz w:val="18"/>
        </w:rPr>
        <w:t xml:space="preserve"> </w:t>
      </w:r>
      <w:r w:rsidRPr="006C096A">
        <w:rPr>
          <w:rFonts w:ascii="Tahoma" w:hAnsi="Tahoma" w:cs="Tahoma"/>
          <w:b/>
          <w:sz w:val="18"/>
        </w:rPr>
        <w:t xml:space="preserve">Phương pháp: </w:t>
      </w:r>
      <w:r w:rsidRPr="006C096A">
        <w:rPr>
          <w:rFonts w:ascii="Tahoma" w:hAnsi="Tahoma" w:cs="Tahoma"/>
          <w:sz w:val="18"/>
        </w:rPr>
        <w:t>Thời gian nghiên cứu: 09/2009-09/2014 (5 năm) Nghiên cứu hồi cứu và tiến cứu 659 bệnh nhân có CMTH cấp do giãn vỡ TMTQ-DD. Các thông số cần đánh giá gồm: hiệu quả cầm máu và các yếu tố liên quan đến hiệu quả điều trị.</w:t>
      </w:r>
    </w:p>
    <w:p w:rsidR="00880DA2" w:rsidRPr="006C096A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b/>
          <w:sz w:val="18"/>
          <w:lang w:val="vi-VN"/>
        </w:rPr>
      </w:pPr>
      <w:r w:rsidRPr="006C096A">
        <w:rPr>
          <w:rFonts w:ascii="Tahoma" w:hAnsi="Tahoma" w:cs="Tahoma"/>
          <w:b/>
          <w:sz w:val="18"/>
        </w:rPr>
        <w:t>Kết quả:</w:t>
      </w:r>
    </w:p>
    <w:p w:rsidR="00880DA2" w:rsidRPr="006C096A" w:rsidRDefault="00880DA2" w:rsidP="00880DA2">
      <w:pPr>
        <w:spacing w:line="220" w:lineRule="exact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b/>
          <w:sz w:val="18"/>
          <w:lang w:val="vi-VN"/>
        </w:rPr>
        <w:t xml:space="preserve">- </w:t>
      </w:r>
      <w:r w:rsidRPr="006C096A">
        <w:rPr>
          <w:rFonts w:ascii="Tahoma" w:hAnsi="Tahoma" w:cs="Tahoma"/>
          <w:sz w:val="18"/>
        </w:rPr>
        <w:t xml:space="preserve">Tuổi trung bình: 49,3 ± 5,2 (giao động từ 13-87). Số lần chảy máu từ 1 đến 11 lần, với tần suất trung bình là: 2,5 ± 1,7 (lần). Mức độ xơ gan theo chức năng gan: Child A: 234, Child B: 342, Child C: 231. Hình ảnh nội soi thực quản giãn (độ II và III): 592 bệnh nhân và giãn tĩnh mạch phình vị dạ dày (loại IVG2) có 67 bệnh nhân. </w:t>
      </w:r>
    </w:p>
    <w:p w:rsidR="00880DA2" w:rsidRPr="00DC5D16" w:rsidRDefault="00880DA2" w:rsidP="00880DA2">
      <w:pPr>
        <w:spacing w:line="220" w:lineRule="exact"/>
        <w:contextualSpacing/>
        <w:jc w:val="both"/>
        <w:rPr>
          <w:rFonts w:ascii="Tahoma" w:hAnsi="Tahoma" w:cs="Tahoma"/>
          <w:spacing w:val="-2"/>
          <w:sz w:val="18"/>
        </w:rPr>
      </w:pPr>
      <w:r w:rsidRPr="00DC5D16">
        <w:rPr>
          <w:rFonts w:ascii="Tahoma" w:hAnsi="Tahoma" w:cs="Tahoma"/>
          <w:spacing w:val="-2"/>
          <w:sz w:val="18"/>
          <w:lang w:val="vi-VN"/>
        </w:rPr>
        <w:t xml:space="preserve">- </w:t>
      </w:r>
      <w:r w:rsidRPr="00DC5D16">
        <w:rPr>
          <w:rFonts w:ascii="Tahoma" w:hAnsi="Tahoma" w:cs="Tahoma"/>
          <w:spacing w:val="-2"/>
          <w:sz w:val="18"/>
        </w:rPr>
        <w:t>Điều trị: Thắt TMTQ cho 496 bệnh nhân, với hiệu quả cầm máu là 478/496 (96,3%). Tiêm Histoacryl qua nội soi cho 676 bệnh nhân, với hiệu quả thành công là 66/67 (98,5%). Thực hiện kỹ thuật phân lưu cửa chủ trong gan qua đường tĩnh mạch cảnh cho 96 ca, với hiệu quả cầm máu đạt 88/96 ca (91,7%) và nguy cơ hội chứng não gan xuất hiện 35/96 ca (36,4%).</w:t>
      </w:r>
    </w:p>
    <w:p w:rsidR="00880DA2" w:rsidRPr="006C096A" w:rsidRDefault="00880DA2" w:rsidP="00880DA2">
      <w:pPr>
        <w:spacing w:line="220" w:lineRule="exact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sz w:val="18"/>
          <w:lang w:val="vi-VN"/>
        </w:rPr>
        <w:t xml:space="preserve">- </w:t>
      </w:r>
      <w:r w:rsidRPr="006C096A">
        <w:rPr>
          <w:rFonts w:ascii="Tahoma" w:hAnsi="Tahoma" w:cs="Tahoma"/>
          <w:sz w:val="18"/>
        </w:rPr>
        <w:t>Các yếu tố nguy cơ: 31 bệnh nhân (4,7%) bị tử vong trong vòng 6 tuần sau CMTH cấp tính</w:t>
      </w:r>
      <w:r w:rsidRPr="006C096A">
        <w:rPr>
          <w:rFonts w:ascii="Tahoma" w:hAnsi="Tahoma" w:cs="Tahoma"/>
          <w:sz w:val="18"/>
          <w:lang w:val="vi-VN"/>
        </w:rPr>
        <w:t>.Th</w:t>
      </w:r>
      <w:r w:rsidRPr="006C096A">
        <w:rPr>
          <w:rFonts w:ascii="Tahoma" w:hAnsi="Tahoma" w:cs="Tahoma"/>
          <w:sz w:val="18"/>
        </w:rPr>
        <w:t xml:space="preserve">ang điểm MELD ≥ 18, cần truyền ≥ 4 đơn vị máu trong 24 giờ đầu khi nhập viện hoặc chảy máu tiêu hóa cấp tính là những yếu tố tham gia vào nguy cơ gây tử vong trong 6 tuần sau điều trị. Tỷ lệ CMTH tái phát trong 5 ngày đầu chiếm 35/659 (5,3%). Thang điêm MELD score ≥ 18 cũng là một trong những yếu tố nguy cơ gây tử vong trong 5 ngày đầu sau điều trị. </w:t>
      </w:r>
    </w:p>
    <w:p w:rsidR="00880DA2" w:rsidRPr="006C096A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b/>
          <w:sz w:val="18"/>
        </w:rPr>
        <w:t xml:space="preserve">Kết luận: </w:t>
      </w:r>
      <w:r w:rsidRPr="006C096A">
        <w:rPr>
          <w:rFonts w:ascii="Tahoma" w:hAnsi="Tahoma" w:cs="Tahoma"/>
          <w:sz w:val="18"/>
        </w:rPr>
        <w:t>Thang điểm MELD và lượng máu truyền trong 24 giờ đầu là những yếu tố liên quan chặt chẽ đến nguy cơ tử vong trong 6 tuần điều trị giãn vỡ TMTQ.</w:t>
      </w:r>
    </w:p>
    <w:p w:rsidR="00880DA2" w:rsidRDefault="00880DA2" w:rsidP="00880DA2">
      <w:pPr>
        <w:spacing w:line="220" w:lineRule="exact"/>
        <w:contextualSpacing/>
        <w:jc w:val="both"/>
        <w:rPr>
          <w:rFonts w:ascii="Tahoma" w:hAnsi="Tahoma" w:cs="Tahoma"/>
          <w:b/>
          <w:sz w:val="20"/>
          <w:lang w:val="vi-VN"/>
        </w:rPr>
      </w:pPr>
    </w:p>
    <w:p w:rsidR="00880DA2" w:rsidRPr="00995769" w:rsidRDefault="00880DA2" w:rsidP="00880DA2">
      <w:pPr>
        <w:spacing w:line="220" w:lineRule="exact"/>
        <w:contextualSpacing/>
        <w:jc w:val="both"/>
        <w:rPr>
          <w:rFonts w:ascii="Calibri" w:hAnsi="Calibri" w:cs="Tahoma"/>
          <w:b/>
          <w:lang w:val="vi-VN"/>
        </w:rPr>
      </w:pPr>
      <w:r w:rsidRPr="00995769">
        <w:rPr>
          <w:rFonts w:ascii="Calibri" w:hAnsi="Calibri" w:cs="Tahoma"/>
          <w:b/>
          <w:lang w:val="vi-VN"/>
        </w:rPr>
        <w:t>SUMMARY</w:t>
      </w:r>
    </w:p>
    <w:p w:rsidR="00880DA2" w:rsidRPr="00805F80" w:rsidRDefault="00880DA2" w:rsidP="00880DA2">
      <w:pPr>
        <w:spacing w:line="220" w:lineRule="exact"/>
        <w:contextualSpacing/>
        <w:jc w:val="center"/>
        <w:rPr>
          <w:rFonts w:ascii="Tahoma" w:hAnsi="Tahoma" w:cs="Tahoma"/>
          <w:b/>
          <w:sz w:val="20"/>
        </w:rPr>
      </w:pPr>
      <w:r w:rsidRPr="00805F80">
        <w:rPr>
          <w:rFonts w:ascii="Tahoma" w:hAnsi="Tahoma" w:cs="Tahoma"/>
          <w:b/>
          <w:sz w:val="20"/>
        </w:rPr>
        <w:t>UPPER DIGESTVE BLEEDING IN PATIENTS WITH CIRRHOSIS:</w:t>
      </w:r>
      <w:r>
        <w:rPr>
          <w:rFonts w:ascii="Tahoma" w:hAnsi="Tahoma" w:cs="Tahoma"/>
          <w:b/>
          <w:sz w:val="20"/>
        </w:rPr>
        <w:t xml:space="preserve"> </w:t>
      </w:r>
      <w:r w:rsidRPr="00805F80">
        <w:rPr>
          <w:rFonts w:ascii="Tahoma" w:hAnsi="Tahoma" w:cs="Tahoma"/>
          <w:b/>
          <w:sz w:val="20"/>
        </w:rPr>
        <w:t>POST-THERAPEUTIC OUTCOME AND PROGNOSTIC INDICATORS</w:t>
      </w:r>
    </w:p>
    <w:p w:rsidR="00880DA2" w:rsidRPr="00DC5D16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DC5D16">
        <w:rPr>
          <w:rFonts w:ascii="Tahoma" w:hAnsi="Tahoma" w:cs="Tahoma"/>
          <w:b/>
          <w:sz w:val="18"/>
        </w:rPr>
        <w:t xml:space="preserve">Aim:  </w:t>
      </w:r>
      <w:r w:rsidRPr="00DC5D16">
        <w:rPr>
          <w:rFonts w:ascii="Tahoma" w:hAnsi="Tahoma" w:cs="Tahoma"/>
          <w:sz w:val="18"/>
        </w:rPr>
        <w:t>To summarize the experience in the treatment of esophageal variceal bleeding;  Determine risk factors for 6-week mortality and re-bleeding within 5 days in patients with cirrhosis and acute variceal haemorrhage (AVH).</w:t>
      </w:r>
    </w:p>
    <w:p w:rsidR="00880DA2" w:rsidRPr="006C096A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b/>
          <w:sz w:val="18"/>
        </w:rPr>
        <w:t xml:space="preserve">Patients and Methods: </w:t>
      </w:r>
      <w:r w:rsidRPr="006C096A">
        <w:rPr>
          <w:rFonts w:ascii="Tahoma" w:hAnsi="Tahoma" w:cs="Tahoma"/>
          <w:sz w:val="18"/>
        </w:rPr>
        <w:t xml:space="preserve">Reseach times: 09/2009-09/2014 (5 years). Retrospect analysis was made in 659 patents with esophagogastric variceal bleeding (EVB). Successful hemostasis and risk factors were retrospectively reviewed. </w:t>
      </w:r>
    </w:p>
    <w:p w:rsidR="00880DA2" w:rsidRPr="006C096A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b/>
          <w:sz w:val="18"/>
        </w:rPr>
        <w:t xml:space="preserve">Results: </w:t>
      </w:r>
      <w:r w:rsidRPr="006C096A">
        <w:rPr>
          <w:rFonts w:ascii="Tahoma" w:hAnsi="Tahoma" w:cs="Tahoma"/>
          <w:sz w:val="18"/>
        </w:rPr>
        <w:t>T</w:t>
      </w:r>
      <w:r w:rsidRPr="006C096A">
        <w:rPr>
          <w:rStyle w:val="hps"/>
          <w:rFonts w:ascii="Tahoma" w:hAnsi="Tahoma" w:cs="Tahoma"/>
          <w:sz w:val="18"/>
          <w:lang w:val="en"/>
        </w:rPr>
        <w:t xml:space="preserve">he average age: </w:t>
      </w:r>
      <w:r w:rsidRPr="006C096A">
        <w:rPr>
          <w:rFonts w:ascii="Tahoma" w:hAnsi="Tahoma" w:cs="Tahoma"/>
          <w:sz w:val="18"/>
        </w:rPr>
        <w:t xml:space="preserve">49,3 ± 5,2 (ranged from 13 to 87 years old). Bleeding episode ranged from 1 to 11 times, with an average of 2,5 ± 1.7. Liver function: Child A: 307, Child B: 243, Child C: 109. Endoscopic grading of esophageal vaicres (grade II and III):   592 patients and isolated gastric varices (IGV2): 67 patients </w:t>
      </w:r>
    </w:p>
    <w:p w:rsidR="00880DA2" w:rsidRPr="006C096A" w:rsidRDefault="00880DA2" w:rsidP="00880DA2">
      <w:pPr>
        <w:spacing w:line="220" w:lineRule="exact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sz w:val="18"/>
          <w:lang w:val="vi-VN"/>
        </w:rPr>
        <w:t xml:space="preserve">- </w:t>
      </w:r>
      <w:r w:rsidRPr="006C096A">
        <w:rPr>
          <w:rFonts w:ascii="Tahoma" w:hAnsi="Tahoma" w:cs="Tahoma"/>
          <w:sz w:val="18"/>
        </w:rPr>
        <w:t>Treatment: Endoscopic variceal ligation (EVL) was performed in 496 cases and hemostasis was achieved in: 478/496 case (96,3%). Histoacryl injection was performed in 67 cases of isolated gastric varices and hemostasis was achieved in 66/67 case (98,5%). Transjugular intrahepatic portosystemic shunts (TIPS) was performed in 96 cases and hemostasis was achieved in 88/96 (91,7%) case and incidence of hepatic encephalopathy (HE) occurred in 35 of 95 (36,4%) patients</w:t>
      </w:r>
    </w:p>
    <w:p w:rsidR="00880DA2" w:rsidRPr="006C096A" w:rsidRDefault="00880DA2" w:rsidP="00880DA2">
      <w:pPr>
        <w:spacing w:line="220" w:lineRule="exact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sz w:val="18"/>
          <w:lang w:val="vi-VN"/>
        </w:rPr>
        <w:t xml:space="preserve">- </w:t>
      </w:r>
      <w:r w:rsidRPr="006C096A">
        <w:rPr>
          <w:rFonts w:ascii="Tahoma" w:hAnsi="Tahoma" w:cs="Tahoma"/>
          <w:sz w:val="18"/>
        </w:rPr>
        <w:t xml:space="preserve">Risk factors: Thirty </w:t>
      </w:r>
      <w:r w:rsidRPr="006C096A">
        <w:rPr>
          <w:rStyle w:val="hps"/>
          <w:rFonts w:ascii="Tahoma" w:hAnsi="Tahoma" w:cs="Tahoma"/>
          <w:color w:val="222222"/>
          <w:sz w:val="18"/>
          <w:lang w:val="en"/>
        </w:rPr>
        <w:t>one</w:t>
      </w:r>
      <w:r w:rsidRPr="006C096A">
        <w:rPr>
          <w:rFonts w:ascii="Tahoma" w:hAnsi="Tahoma" w:cs="Tahoma"/>
          <w:sz w:val="18"/>
        </w:rPr>
        <w:t xml:space="preserve"> patients (4,7%) died within 6 weeks of acute variceal haemorrhage (AVH). Patients with AVH and MELD score ≥ 18, requiring ≥ 4 units of PRBSs within the first 24 h or with active bleeding at endoscopy are at increased risk of dying within 6 weeks. Re-bleeding within 5 days occurred in 35/659 (5,3%); MELD score ≥ 18 is also a strong predictor</w:t>
      </w:r>
      <w:r w:rsidRPr="006C096A">
        <w:rPr>
          <w:rFonts w:ascii="Tahoma" w:hAnsi="Tahoma" w:cs="Tahoma"/>
          <w:b/>
          <w:sz w:val="18"/>
        </w:rPr>
        <w:t xml:space="preserve"> </w:t>
      </w:r>
      <w:r w:rsidRPr="006C096A">
        <w:rPr>
          <w:rFonts w:ascii="Tahoma" w:hAnsi="Tahoma" w:cs="Tahoma"/>
          <w:sz w:val="18"/>
        </w:rPr>
        <w:t>of variceal re-bleeding within the first 5 days.</w:t>
      </w:r>
    </w:p>
    <w:p w:rsidR="00880DA2" w:rsidRPr="006C096A" w:rsidRDefault="00880DA2" w:rsidP="00880DA2">
      <w:pPr>
        <w:spacing w:line="22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6C096A">
        <w:rPr>
          <w:rFonts w:ascii="Tahoma" w:hAnsi="Tahoma" w:cs="Tahoma"/>
          <w:b/>
          <w:sz w:val="18"/>
        </w:rPr>
        <w:t>Conclusion</w:t>
      </w:r>
      <w:r w:rsidRPr="006C096A">
        <w:rPr>
          <w:rFonts w:ascii="Tahoma" w:hAnsi="Tahoma" w:cs="Tahoma"/>
          <w:sz w:val="18"/>
        </w:rPr>
        <w:t>: Only the Model for End-stage Liver Disease (MELD) score and units of packed red blood cells (PRBCs) transfused in the first 24 h were associated with 6 week mortality univariately.</w:t>
      </w:r>
    </w:p>
    <w:p w:rsidR="007C6360" w:rsidRPr="00880DA2" w:rsidRDefault="007C6360" w:rsidP="00880DA2"/>
    <w:sectPr w:rsidR="007C6360" w:rsidRPr="00880DA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26" w:rsidRDefault="00564C26" w:rsidP="00CB69C0">
      <w:r>
        <w:separator/>
      </w:r>
    </w:p>
  </w:endnote>
  <w:endnote w:type="continuationSeparator" w:id="0">
    <w:p w:rsidR="00564C26" w:rsidRDefault="00564C26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C0" w:rsidRPr="009B1CBB" w:rsidRDefault="009C4EC0">
    <w:pPr>
      <w:pStyle w:val="Footer"/>
      <w:jc w:val="right"/>
      <w:rPr>
        <w:rFonts w:ascii="Tahoma" w:hAnsi="Tahoma" w:cs="Tahoma"/>
        <w:sz w:val="18"/>
        <w:szCs w:val="18"/>
      </w:rPr>
    </w:pPr>
    <w:r w:rsidRPr="009B1CBB">
      <w:rPr>
        <w:rFonts w:ascii="Tahoma" w:hAnsi="Tahoma" w:cs="Tahoma"/>
        <w:sz w:val="18"/>
        <w:szCs w:val="18"/>
      </w:rPr>
      <w:fldChar w:fldCharType="begin"/>
    </w:r>
    <w:r w:rsidRPr="009B1CBB">
      <w:rPr>
        <w:rFonts w:ascii="Tahoma" w:hAnsi="Tahoma" w:cs="Tahoma"/>
        <w:sz w:val="18"/>
        <w:szCs w:val="18"/>
      </w:rPr>
      <w:instrText xml:space="preserve"> PAGE   \* MERGEFORMAT </w:instrText>
    </w:r>
    <w:r w:rsidRPr="009B1CBB">
      <w:rPr>
        <w:rFonts w:ascii="Tahoma" w:hAnsi="Tahoma" w:cs="Tahoma"/>
        <w:sz w:val="18"/>
        <w:szCs w:val="18"/>
      </w:rPr>
      <w:fldChar w:fldCharType="separate"/>
    </w:r>
    <w:r w:rsidR="00FF2214">
      <w:rPr>
        <w:rFonts w:ascii="Tahoma" w:hAnsi="Tahoma" w:cs="Tahoma"/>
        <w:noProof/>
        <w:sz w:val="18"/>
        <w:szCs w:val="18"/>
      </w:rPr>
      <w:t>1</w:t>
    </w:r>
    <w:r w:rsidRPr="009B1CB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26" w:rsidRDefault="00564C26" w:rsidP="00CB69C0">
      <w:r>
        <w:separator/>
      </w:r>
    </w:p>
  </w:footnote>
  <w:footnote w:type="continuationSeparator" w:id="0">
    <w:p w:rsidR="00564C26" w:rsidRDefault="00564C26" w:rsidP="00CB69C0">
      <w:r>
        <w:continuationSeparator/>
      </w:r>
    </w:p>
  </w:footnote>
  <w:footnote w:id="1">
    <w:p w:rsidR="00880DA2" w:rsidRPr="00995769" w:rsidRDefault="00880DA2" w:rsidP="00880DA2">
      <w:pPr>
        <w:jc w:val="both"/>
        <w:rPr>
          <w:rFonts w:ascii="Calibri" w:hAnsi="Calibri" w:cs="Tahoma"/>
          <w:color w:val="000000"/>
          <w:sz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564C26"/>
    <w:rsid w:val="00636D7D"/>
    <w:rsid w:val="007C6360"/>
    <w:rsid w:val="007D649C"/>
    <w:rsid w:val="00880DA2"/>
    <w:rsid w:val="009972AA"/>
    <w:rsid w:val="009C4EC0"/>
    <w:rsid w:val="00A32B15"/>
    <w:rsid w:val="00CB69C0"/>
    <w:rsid w:val="00EE3F34"/>
    <w:rsid w:val="00FD7AC4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styleId="Footer">
    <w:name w:val="footer"/>
    <w:aliases w:val="FooterQ"/>
    <w:basedOn w:val="Normal"/>
    <w:link w:val="FooterChar1"/>
    <w:uiPriority w:val="99"/>
    <w:rsid w:val="009C4EC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9C4EC0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FooterChar1">
    <w:name w:val="Footer Char1"/>
    <w:aliases w:val="FooterQ Char"/>
    <w:link w:val="Footer"/>
    <w:uiPriority w:val="99"/>
    <w:rsid w:val="009C4EC0"/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ps">
    <w:name w:val="hps"/>
    <w:basedOn w:val="DefaultParagraphFont"/>
    <w:rsid w:val="0088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2015-06-04T08:50:00Z</dcterms:created>
  <dcterms:modified xsi:type="dcterms:W3CDTF">2015-06-05T08:33:00Z</dcterms:modified>
</cp:coreProperties>
</file>