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65E" w:rsidRPr="00C421DF" w:rsidRDefault="00F9365E" w:rsidP="00F9365E">
      <w:pPr>
        <w:contextualSpacing/>
        <w:jc w:val="center"/>
        <w:rPr>
          <w:rFonts w:ascii="Cambria" w:hAnsi="Cambria" w:cs="Tahoma"/>
          <w:b/>
          <w:sz w:val="28"/>
        </w:rPr>
      </w:pPr>
      <w:r w:rsidRPr="00C421DF">
        <w:rPr>
          <w:rFonts w:ascii="Cambria" w:hAnsi="Cambria" w:cs="Tahoma"/>
          <w:b/>
          <w:sz w:val="28"/>
        </w:rPr>
        <w:t>TỈ LỆ NHIỄM KHUẨN BỆNH VIỆN, VI KHUẨN GÂY BỆNH</w:t>
      </w:r>
    </w:p>
    <w:p w:rsidR="00F9365E" w:rsidRPr="00C421DF" w:rsidRDefault="00F9365E" w:rsidP="00F9365E">
      <w:pPr>
        <w:contextualSpacing/>
        <w:jc w:val="center"/>
        <w:rPr>
          <w:rFonts w:ascii="Cambria" w:hAnsi="Cambria" w:cs="Tahoma"/>
          <w:b/>
          <w:sz w:val="28"/>
        </w:rPr>
      </w:pPr>
      <w:r w:rsidRPr="00C421DF">
        <w:rPr>
          <w:rFonts w:ascii="Cambria" w:hAnsi="Cambria" w:cs="Tahoma"/>
          <w:b/>
          <w:sz w:val="28"/>
        </w:rPr>
        <w:t>VÀ TỈ LỆ ĐỀ KHÁNG CARBAPENEM</w:t>
      </w:r>
    </w:p>
    <w:p w:rsidR="00F9365E" w:rsidRPr="00C421DF" w:rsidRDefault="00F9365E" w:rsidP="00F9365E">
      <w:pPr>
        <w:contextualSpacing/>
        <w:jc w:val="center"/>
        <w:rPr>
          <w:rFonts w:ascii="Cambria" w:hAnsi="Cambria" w:cs="Tahoma"/>
          <w:b/>
          <w:sz w:val="28"/>
        </w:rPr>
      </w:pPr>
      <w:r w:rsidRPr="00C421DF">
        <w:rPr>
          <w:rFonts w:ascii="Cambria" w:hAnsi="Cambria" w:cs="Tahoma"/>
          <w:b/>
          <w:sz w:val="28"/>
        </w:rPr>
        <w:t>TẠI KHOA HỒI SỨC TÍCH CỰC BỆNH VIỆN CHỢ RẪY</w:t>
      </w:r>
    </w:p>
    <w:p w:rsidR="00F9365E" w:rsidRDefault="00F9365E" w:rsidP="00F9365E">
      <w:pPr>
        <w:contextualSpacing/>
        <w:jc w:val="both"/>
        <w:rPr>
          <w:rFonts w:ascii="Tahoma" w:hAnsi="Tahoma" w:cs="Tahoma"/>
          <w:i/>
          <w:sz w:val="20"/>
        </w:rPr>
      </w:pPr>
    </w:p>
    <w:p w:rsidR="00F9365E" w:rsidRPr="001B3641" w:rsidRDefault="00F9365E" w:rsidP="00F9365E">
      <w:pPr>
        <w:contextualSpacing/>
        <w:jc w:val="right"/>
        <w:rPr>
          <w:rFonts w:ascii="Times New Roman" w:hAnsi="Times New Roman"/>
          <w:b/>
        </w:rPr>
      </w:pPr>
      <w:r w:rsidRPr="001B3641">
        <w:rPr>
          <w:rFonts w:ascii="Times New Roman" w:hAnsi="Times New Roman"/>
          <w:b/>
        </w:rPr>
        <w:t>Phạm Thị Ngọc Thảo</w:t>
      </w:r>
      <w:r>
        <w:rPr>
          <w:rFonts w:ascii="Times New Roman" w:hAnsi="Times New Roman"/>
          <w:b/>
        </w:rPr>
        <w:t>*</w:t>
      </w:r>
    </w:p>
    <w:p w:rsidR="00F9365E" w:rsidRPr="00C421DF" w:rsidRDefault="00F9365E" w:rsidP="00F9365E">
      <w:pPr>
        <w:contextualSpacing/>
        <w:jc w:val="both"/>
        <w:rPr>
          <w:rFonts w:ascii="Calibri" w:hAnsi="Calibri" w:cs="Calibri"/>
          <w:b/>
        </w:rPr>
      </w:pPr>
      <w:r w:rsidRPr="00C421DF">
        <w:rPr>
          <w:rFonts w:ascii="Calibri" w:hAnsi="Calibri" w:cs="Calibri"/>
          <w:b/>
        </w:rPr>
        <w:t>TÓM TẮT</w:t>
      </w:r>
      <w:r w:rsidRPr="00C421DF">
        <w:rPr>
          <w:rStyle w:val="FootnoteReference"/>
          <w:rFonts w:ascii="Calibri" w:hAnsi="Calibri" w:cs="Calibri"/>
          <w:b/>
          <w:sz w:val="2"/>
          <w:szCs w:val="2"/>
        </w:rPr>
        <w:footnoteReference w:id="1"/>
      </w:r>
    </w:p>
    <w:p w:rsidR="00F9365E" w:rsidRPr="003B657A" w:rsidRDefault="00F9365E" w:rsidP="00F9365E">
      <w:pPr>
        <w:ind w:firstLine="360"/>
        <w:contextualSpacing/>
        <w:jc w:val="both"/>
        <w:rPr>
          <w:rFonts w:ascii="Tahoma" w:hAnsi="Tahoma" w:cs="Tahoma"/>
          <w:sz w:val="18"/>
        </w:rPr>
      </w:pPr>
      <w:r w:rsidRPr="003B657A">
        <w:rPr>
          <w:rFonts w:ascii="Tahoma" w:hAnsi="Tahoma" w:cs="Tahoma"/>
          <w:sz w:val="18"/>
        </w:rPr>
        <w:t xml:space="preserve">Mục tiêu nghiên cứu: Xác định tỷ lệ nhiễm khuẩn bệnh viện, vi khuẩn gây bệnh và tình hình đề kháng Carbapenem tại khoa Hồi sức cấp cứu bệnh viện Chợ Rẫy. Tiến hành nghiên cứu tiến cứu, cắt ngang trên 284 bệnh nhân từ 01/12/2013 đến 30/09/2014 tại Khoa Hồi sức tích cực Bệnh viện Chợ Rẫy. Kết quả cho thấy, tuổi trung bình của nhóm nghiên cứu là 59 tuổi, chủ yếu tập trung ở lứa tuổi &gt; 50, nam nữ có tỉ lệ tương đương nhau. Tỉ lệ nhiễm khuẩn bệnh viện là 51%, trong số đó 88,2% xảy ra tại Bệnh viện Chợ Rẫy, số còn lại từ các bệnh viện khác chuyển đến.Viêm phổi nhiểm khuẩn bệnh viện chiếm 45,4%, nhiễm khuẩn ổ bụng chiếm 22,3%, nhiễm khuẩn da, mô mềm chiếm 6,4%, nhiễm khuẩn tiết niệu chiếm 4,6% và nhiễm khuẩn huyết  chiếm 3,2%.Tỉ lệ nhiễm khuẩn bệnh viện khi nhập Khoa Hồi sức tích cực Bệnh viện Chợ Rẫy là 38,3% và thời gian trung bình xuất hiện nhiễm khuẩn bệnh viện là 8 ngày. Tác nhân gây bệnh thường gặp là: </w:t>
      </w:r>
      <w:r w:rsidRPr="003B657A">
        <w:rPr>
          <w:rFonts w:ascii="Tahoma" w:hAnsi="Tahoma" w:cs="Tahoma"/>
          <w:i/>
          <w:sz w:val="18"/>
        </w:rPr>
        <w:t>Acinetobacter baumannii</w:t>
      </w:r>
      <w:r w:rsidRPr="003B657A">
        <w:rPr>
          <w:rFonts w:ascii="Tahoma" w:hAnsi="Tahoma" w:cs="Tahoma"/>
          <w:sz w:val="18"/>
        </w:rPr>
        <w:t xml:space="preserve"> 53,9%, </w:t>
      </w:r>
      <w:r w:rsidRPr="003B657A">
        <w:rPr>
          <w:rFonts w:ascii="Tahoma" w:hAnsi="Tahoma" w:cs="Tahoma"/>
          <w:i/>
          <w:sz w:val="18"/>
        </w:rPr>
        <w:t xml:space="preserve">Klebsiella spp </w:t>
      </w:r>
      <w:r w:rsidRPr="003B657A">
        <w:rPr>
          <w:rFonts w:ascii="Tahoma" w:hAnsi="Tahoma" w:cs="Tahoma"/>
          <w:sz w:val="18"/>
        </w:rPr>
        <w:t xml:space="preserve">12%, </w:t>
      </w:r>
      <w:r w:rsidRPr="003B657A">
        <w:rPr>
          <w:rFonts w:ascii="Tahoma" w:hAnsi="Tahoma" w:cs="Tahoma"/>
          <w:i/>
          <w:sz w:val="18"/>
        </w:rPr>
        <w:t>Staphylococcus aureus</w:t>
      </w:r>
      <w:r w:rsidRPr="003B657A">
        <w:rPr>
          <w:rFonts w:ascii="Tahoma" w:hAnsi="Tahoma" w:cs="Tahoma"/>
          <w:sz w:val="18"/>
        </w:rPr>
        <w:t xml:space="preserve"> 8,8%, </w:t>
      </w:r>
      <w:r w:rsidRPr="003B657A">
        <w:rPr>
          <w:rFonts w:ascii="Tahoma" w:hAnsi="Tahoma" w:cs="Tahoma"/>
          <w:i/>
          <w:sz w:val="18"/>
        </w:rPr>
        <w:t>Pseudomonas aeruginosa</w:t>
      </w:r>
      <w:r w:rsidRPr="003B657A">
        <w:rPr>
          <w:rFonts w:ascii="Tahoma" w:hAnsi="Tahoma" w:cs="Tahoma"/>
          <w:sz w:val="18"/>
        </w:rPr>
        <w:t xml:space="preserve"> 7,7%, </w:t>
      </w:r>
      <w:r w:rsidRPr="003B657A">
        <w:rPr>
          <w:rFonts w:ascii="Tahoma" w:hAnsi="Tahoma" w:cs="Tahoma"/>
          <w:i/>
          <w:sz w:val="18"/>
        </w:rPr>
        <w:t xml:space="preserve">Enterococci </w:t>
      </w:r>
      <w:r w:rsidRPr="003B657A">
        <w:rPr>
          <w:rFonts w:ascii="Tahoma" w:hAnsi="Tahoma" w:cs="Tahoma"/>
          <w:sz w:val="18"/>
        </w:rPr>
        <w:t xml:space="preserve">6,1%, </w:t>
      </w:r>
      <w:r w:rsidRPr="003B657A">
        <w:rPr>
          <w:rFonts w:ascii="Tahoma" w:hAnsi="Tahoma" w:cs="Tahoma"/>
          <w:i/>
          <w:sz w:val="18"/>
        </w:rPr>
        <w:t>E.coli</w:t>
      </w:r>
      <w:r w:rsidRPr="003B657A">
        <w:rPr>
          <w:rFonts w:ascii="Tahoma" w:hAnsi="Tahoma" w:cs="Tahoma"/>
          <w:sz w:val="18"/>
        </w:rPr>
        <w:t xml:space="preserve"> 3,3%. Tỉ lệ kháng carbapenem của </w:t>
      </w:r>
      <w:r w:rsidRPr="003B657A">
        <w:rPr>
          <w:rFonts w:ascii="Tahoma" w:hAnsi="Tahoma" w:cs="Tahoma"/>
          <w:i/>
          <w:sz w:val="18"/>
        </w:rPr>
        <w:t>Acinetobacter baumannii</w:t>
      </w:r>
      <w:r w:rsidRPr="003B657A">
        <w:rPr>
          <w:rFonts w:ascii="Tahoma" w:hAnsi="Tahoma" w:cs="Tahoma"/>
          <w:sz w:val="18"/>
        </w:rPr>
        <w:t xml:space="preserve"> là 95,9%, </w:t>
      </w:r>
      <w:r w:rsidRPr="003B657A">
        <w:rPr>
          <w:rFonts w:ascii="Tahoma" w:hAnsi="Tahoma" w:cs="Tahoma"/>
          <w:i/>
          <w:sz w:val="18"/>
        </w:rPr>
        <w:t>Pseudomonas aeruginosa</w:t>
      </w:r>
      <w:r w:rsidRPr="003B657A">
        <w:rPr>
          <w:rFonts w:ascii="Tahoma" w:hAnsi="Tahoma" w:cs="Tahoma"/>
          <w:sz w:val="18"/>
        </w:rPr>
        <w:t xml:space="preserve"> là 71,4%.</w:t>
      </w:r>
    </w:p>
    <w:p w:rsidR="00F9365E" w:rsidRPr="003B657A" w:rsidRDefault="00F9365E" w:rsidP="00F9365E">
      <w:pPr>
        <w:ind w:firstLine="360"/>
        <w:contextualSpacing/>
        <w:jc w:val="both"/>
        <w:rPr>
          <w:rFonts w:ascii="Tahoma" w:hAnsi="Tahoma" w:cs="Tahoma"/>
          <w:i/>
          <w:sz w:val="18"/>
        </w:rPr>
      </w:pPr>
      <w:r w:rsidRPr="003B657A">
        <w:rPr>
          <w:rFonts w:ascii="Tahoma" w:hAnsi="Tahoma" w:cs="Tahoma"/>
          <w:b/>
          <w:i/>
          <w:sz w:val="18"/>
        </w:rPr>
        <w:t>Từ khóa:</w:t>
      </w:r>
      <w:r w:rsidRPr="003B657A">
        <w:rPr>
          <w:rFonts w:ascii="Tahoma" w:hAnsi="Tahoma" w:cs="Tahoma"/>
          <w:i/>
          <w:sz w:val="18"/>
        </w:rPr>
        <w:t xml:space="preserve"> </w:t>
      </w:r>
      <w:r w:rsidRPr="003B657A">
        <w:rPr>
          <w:rFonts w:ascii="Tahoma" w:hAnsi="Tahoma" w:cs="Tahoma"/>
          <w:sz w:val="18"/>
        </w:rPr>
        <w:t xml:space="preserve">Nhiễm khuẩn bệnh viện, Hồi sức tích cực, Bệnh viện Chợ Rẫy </w:t>
      </w:r>
    </w:p>
    <w:p w:rsidR="00F9365E" w:rsidRPr="00EF0459" w:rsidRDefault="00F9365E" w:rsidP="00F9365E">
      <w:pPr>
        <w:contextualSpacing/>
        <w:jc w:val="both"/>
        <w:rPr>
          <w:rFonts w:ascii="Tahoma" w:hAnsi="Tahoma" w:cs="Tahoma"/>
          <w:b/>
          <w:sz w:val="20"/>
        </w:rPr>
      </w:pPr>
    </w:p>
    <w:p w:rsidR="00F9365E" w:rsidRPr="00C421DF" w:rsidRDefault="00F9365E" w:rsidP="00F9365E">
      <w:pPr>
        <w:contextualSpacing/>
        <w:jc w:val="both"/>
        <w:rPr>
          <w:rFonts w:ascii="Calibri" w:hAnsi="Calibri" w:cs="Calibri"/>
          <w:b/>
        </w:rPr>
      </w:pPr>
      <w:r w:rsidRPr="00C421DF">
        <w:rPr>
          <w:rFonts w:ascii="Calibri" w:hAnsi="Calibri" w:cs="Calibri"/>
          <w:b/>
        </w:rPr>
        <w:t xml:space="preserve">SUMMARY </w:t>
      </w:r>
    </w:p>
    <w:p w:rsidR="00F9365E" w:rsidRDefault="00F9365E" w:rsidP="00F9365E">
      <w:pPr>
        <w:contextualSpacing/>
        <w:jc w:val="center"/>
        <w:rPr>
          <w:rFonts w:ascii="Tahoma" w:hAnsi="Tahoma" w:cs="Tahoma"/>
          <w:b/>
          <w:sz w:val="20"/>
        </w:rPr>
      </w:pPr>
      <w:r w:rsidRPr="00EF0459">
        <w:rPr>
          <w:rFonts w:ascii="Tahoma" w:hAnsi="Tahoma" w:cs="Tahoma"/>
          <w:b/>
          <w:sz w:val="20"/>
        </w:rPr>
        <w:t>SURVEY OF HOSPITAL-ACQUIRED INFECTION RATE, BACTERIA,</w:t>
      </w:r>
    </w:p>
    <w:p w:rsidR="00F9365E" w:rsidRDefault="00F9365E" w:rsidP="00F9365E">
      <w:pPr>
        <w:contextualSpacing/>
        <w:jc w:val="center"/>
        <w:rPr>
          <w:rFonts w:ascii="Tahoma" w:hAnsi="Tahoma" w:cs="Tahoma"/>
          <w:b/>
          <w:sz w:val="20"/>
        </w:rPr>
      </w:pPr>
      <w:r w:rsidRPr="00EF0459">
        <w:rPr>
          <w:rFonts w:ascii="Tahoma" w:hAnsi="Tahoma" w:cs="Tahoma"/>
          <w:b/>
          <w:sz w:val="20"/>
        </w:rPr>
        <w:t>AND CARBAPENEM RESISTANCE RATE</w:t>
      </w:r>
    </w:p>
    <w:p w:rsidR="00F9365E" w:rsidRDefault="00F9365E" w:rsidP="00F9365E">
      <w:pPr>
        <w:contextualSpacing/>
        <w:jc w:val="center"/>
        <w:rPr>
          <w:rFonts w:ascii="Tahoma" w:hAnsi="Tahoma" w:cs="Tahoma"/>
          <w:b/>
          <w:sz w:val="20"/>
        </w:rPr>
      </w:pPr>
      <w:r w:rsidRPr="00EF0459">
        <w:rPr>
          <w:rFonts w:ascii="Tahoma" w:hAnsi="Tahoma" w:cs="Tahoma"/>
          <w:b/>
          <w:sz w:val="20"/>
        </w:rPr>
        <w:t>AT THE INTENSIVE CARE UNIT,</w:t>
      </w:r>
    </w:p>
    <w:p w:rsidR="00F9365E" w:rsidRPr="00EF0459" w:rsidRDefault="00F9365E" w:rsidP="00F9365E">
      <w:pPr>
        <w:contextualSpacing/>
        <w:jc w:val="center"/>
        <w:rPr>
          <w:rFonts w:ascii="Tahoma" w:hAnsi="Tahoma" w:cs="Tahoma"/>
          <w:b/>
          <w:sz w:val="20"/>
        </w:rPr>
      </w:pPr>
      <w:smartTag w:uri="urn:schemas-microsoft-com:office:smarttags" w:element="place">
        <w:smartTag w:uri="urn:schemas-microsoft-com:office:smarttags" w:element="PlaceName">
          <w:r w:rsidRPr="00EF0459">
            <w:rPr>
              <w:rFonts w:ascii="Tahoma" w:hAnsi="Tahoma" w:cs="Tahoma"/>
              <w:b/>
              <w:sz w:val="20"/>
            </w:rPr>
            <w:t>CHO</w:t>
          </w:r>
        </w:smartTag>
        <w:r w:rsidRPr="00EF0459">
          <w:rPr>
            <w:rFonts w:ascii="Tahoma" w:hAnsi="Tahoma" w:cs="Tahoma"/>
            <w:b/>
            <w:sz w:val="20"/>
          </w:rPr>
          <w:t xml:space="preserve"> </w:t>
        </w:r>
        <w:smartTag w:uri="urn:schemas-microsoft-com:office:smarttags" w:element="PlaceName">
          <w:r w:rsidRPr="00EF0459">
            <w:rPr>
              <w:rFonts w:ascii="Tahoma" w:hAnsi="Tahoma" w:cs="Tahoma"/>
              <w:b/>
              <w:sz w:val="20"/>
            </w:rPr>
            <w:t>RAY</w:t>
          </w:r>
        </w:smartTag>
        <w:r w:rsidRPr="00EF0459">
          <w:rPr>
            <w:rFonts w:ascii="Tahoma" w:hAnsi="Tahoma" w:cs="Tahoma"/>
            <w:b/>
            <w:sz w:val="20"/>
          </w:rPr>
          <w:t xml:space="preserve"> </w:t>
        </w:r>
        <w:smartTag w:uri="urn:schemas-microsoft-com:office:smarttags" w:element="PlaceName">
          <w:r w:rsidRPr="00EF0459">
            <w:rPr>
              <w:rFonts w:ascii="Tahoma" w:hAnsi="Tahoma" w:cs="Tahoma"/>
              <w:b/>
              <w:sz w:val="20"/>
            </w:rPr>
            <w:t>HOSPITAL</w:t>
          </w:r>
        </w:smartTag>
      </w:smartTag>
    </w:p>
    <w:p w:rsidR="00F9365E" w:rsidRPr="003B657A" w:rsidRDefault="00F9365E" w:rsidP="00F9365E">
      <w:pPr>
        <w:ind w:firstLine="360"/>
        <w:contextualSpacing/>
        <w:jc w:val="both"/>
        <w:rPr>
          <w:rFonts w:ascii="Tahoma" w:hAnsi="Tahoma" w:cs="Tahoma"/>
          <w:sz w:val="18"/>
        </w:rPr>
      </w:pPr>
      <w:r w:rsidRPr="003B657A">
        <w:rPr>
          <w:rFonts w:ascii="Tahoma" w:hAnsi="Tahoma" w:cs="Tahoma"/>
          <w:sz w:val="18"/>
        </w:rPr>
        <w:t xml:space="preserve">Aim of study </w:t>
      </w:r>
      <w:r w:rsidRPr="003B657A">
        <w:rPr>
          <w:rFonts w:ascii="Tahoma" w:hAnsi="Tahoma" w:cs="Tahoma"/>
          <w:i/>
          <w:sz w:val="18"/>
        </w:rPr>
        <w:t>is</w:t>
      </w:r>
      <w:r w:rsidRPr="003B657A">
        <w:rPr>
          <w:rFonts w:ascii="Tahoma" w:hAnsi="Tahoma" w:cs="Tahoma"/>
          <w:sz w:val="18"/>
        </w:rPr>
        <w:t xml:space="preserve">to determine prevalence of hospital acquired infection rate,bacteria and Carbapnem resistance rate at the Intensive care unit, Cho Ray hospital. A prospective cross sectional study was done from 01/12/2013 to 30/9/2014 in 284 patients. The result showed that mean age was 59 years old, male to female was the same. The hospital acquired infectionwas 51% in which pneumonia was 45,4%, intra-abdominal infection was 22,4%, cellulitis and soft tissue were 6,4%, urinary tract infection was 4,6%, sepsis was 3,2%, SIRS was 2,8%, unknown was 12,4%. Mean time from Intensive care unit admission to have hospital acquired infection was 8 days. Organisms cause hospital acquired infection were </w:t>
      </w:r>
      <w:r w:rsidRPr="003B657A">
        <w:rPr>
          <w:rFonts w:ascii="Tahoma" w:hAnsi="Tahoma" w:cs="Tahoma"/>
          <w:i/>
          <w:sz w:val="18"/>
        </w:rPr>
        <w:t>Acinetobacter baumannii</w:t>
      </w:r>
      <w:r w:rsidRPr="003B657A">
        <w:rPr>
          <w:rFonts w:ascii="Tahoma" w:hAnsi="Tahoma" w:cs="Tahoma"/>
          <w:sz w:val="18"/>
        </w:rPr>
        <w:t xml:space="preserve"> 53,9%, </w:t>
      </w:r>
      <w:r w:rsidRPr="003B657A">
        <w:rPr>
          <w:rFonts w:ascii="Tahoma" w:hAnsi="Tahoma" w:cs="Tahoma"/>
          <w:i/>
          <w:sz w:val="18"/>
        </w:rPr>
        <w:t>Klebsiella spp</w:t>
      </w:r>
      <w:r w:rsidRPr="003B657A">
        <w:rPr>
          <w:rFonts w:ascii="Tahoma" w:hAnsi="Tahoma" w:cs="Tahoma"/>
          <w:sz w:val="18"/>
        </w:rPr>
        <w:t xml:space="preserve"> 12,1%, </w:t>
      </w:r>
      <w:r w:rsidRPr="003B657A">
        <w:rPr>
          <w:rFonts w:ascii="Tahoma" w:hAnsi="Tahoma" w:cs="Tahoma"/>
          <w:i/>
          <w:sz w:val="18"/>
        </w:rPr>
        <w:t>Staphylococcus aureus</w:t>
      </w:r>
      <w:r w:rsidRPr="003B657A">
        <w:rPr>
          <w:rFonts w:ascii="Tahoma" w:hAnsi="Tahoma" w:cs="Tahoma"/>
          <w:sz w:val="18"/>
        </w:rPr>
        <w:t xml:space="preserve"> 8,8%, </w:t>
      </w:r>
      <w:r w:rsidRPr="003B657A">
        <w:rPr>
          <w:rFonts w:ascii="Tahoma" w:hAnsi="Tahoma" w:cs="Tahoma"/>
          <w:i/>
          <w:sz w:val="18"/>
        </w:rPr>
        <w:t>Pseudomonas aeruginosa</w:t>
      </w:r>
      <w:r w:rsidRPr="003B657A">
        <w:rPr>
          <w:rFonts w:ascii="Tahoma" w:hAnsi="Tahoma" w:cs="Tahoma"/>
          <w:sz w:val="18"/>
        </w:rPr>
        <w:t xml:space="preserve"> 7,7%, </w:t>
      </w:r>
      <w:r w:rsidRPr="003B657A">
        <w:rPr>
          <w:rFonts w:ascii="Tahoma" w:hAnsi="Tahoma" w:cs="Tahoma"/>
          <w:i/>
          <w:sz w:val="18"/>
        </w:rPr>
        <w:t>Enterococci spp</w:t>
      </w:r>
      <w:r w:rsidRPr="003B657A">
        <w:rPr>
          <w:rFonts w:ascii="Tahoma" w:hAnsi="Tahoma" w:cs="Tahoma"/>
          <w:sz w:val="18"/>
        </w:rPr>
        <w:t xml:space="preserve"> 6,1% and </w:t>
      </w:r>
      <w:r w:rsidRPr="003B657A">
        <w:rPr>
          <w:rFonts w:ascii="Tahoma" w:hAnsi="Tahoma" w:cs="Tahoma"/>
          <w:i/>
          <w:sz w:val="18"/>
        </w:rPr>
        <w:t>Escheria coli</w:t>
      </w:r>
      <w:r w:rsidRPr="003B657A">
        <w:rPr>
          <w:rFonts w:ascii="Tahoma" w:hAnsi="Tahoma" w:cs="Tahoma"/>
          <w:sz w:val="18"/>
        </w:rPr>
        <w:t xml:space="preserve"> 3,3%. The </w:t>
      </w:r>
      <w:r w:rsidRPr="003B657A">
        <w:rPr>
          <w:rFonts w:ascii="Tahoma" w:hAnsi="Tahoma" w:cs="Tahoma"/>
          <w:i/>
          <w:sz w:val="18"/>
        </w:rPr>
        <w:t>Acinetobacter baumannii</w:t>
      </w:r>
      <w:r w:rsidRPr="003B657A">
        <w:rPr>
          <w:rFonts w:ascii="Tahoma" w:hAnsi="Tahoma" w:cs="Tahoma"/>
          <w:sz w:val="18"/>
        </w:rPr>
        <w:t xml:space="preserve"> resisted Carbapenem was 95,9%, </w:t>
      </w:r>
      <w:r w:rsidRPr="003B657A">
        <w:rPr>
          <w:rFonts w:ascii="Tahoma" w:hAnsi="Tahoma" w:cs="Tahoma"/>
          <w:i/>
          <w:sz w:val="18"/>
        </w:rPr>
        <w:t>Pseudomonas aeruginosa</w:t>
      </w:r>
      <w:r w:rsidRPr="003B657A">
        <w:rPr>
          <w:rFonts w:ascii="Tahoma" w:hAnsi="Tahoma" w:cs="Tahoma"/>
          <w:sz w:val="18"/>
        </w:rPr>
        <w:t xml:space="preserve"> resisted Carbapenem was 71,1%.</w:t>
      </w:r>
    </w:p>
    <w:p w:rsidR="007C6360" w:rsidRPr="00F9365E" w:rsidRDefault="00F9365E" w:rsidP="00F9365E">
      <w:r w:rsidRPr="003B657A">
        <w:rPr>
          <w:rFonts w:ascii="Tahoma" w:hAnsi="Tahoma" w:cs="Tahoma"/>
          <w:b/>
          <w:i/>
          <w:sz w:val="18"/>
        </w:rPr>
        <w:t xml:space="preserve">Keywords: </w:t>
      </w:r>
      <w:r w:rsidRPr="003B657A">
        <w:rPr>
          <w:rFonts w:ascii="Tahoma" w:hAnsi="Tahoma" w:cs="Tahoma"/>
          <w:sz w:val="18"/>
        </w:rPr>
        <w:t>Hospital-acquired infections, intensive care, Cho Ray hospital</w:t>
      </w:r>
    </w:p>
    <w:sectPr w:rsidR="007C6360" w:rsidRPr="00F9365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D2" w:rsidRDefault="005A0CD2" w:rsidP="005C2B52">
      <w:r>
        <w:separator/>
      </w:r>
    </w:p>
  </w:endnote>
  <w:endnote w:type="continuationSeparator" w:id="0">
    <w:p w:rsidR="005A0CD2" w:rsidRDefault="005A0CD2" w:rsidP="005C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D2" w:rsidRDefault="005A0CD2" w:rsidP="005C2B52">
      <w:r>
        <w:separator/>
      </w:r>
    </w:p>
  </w:footnote>
  <w:footnote w:type="continuationSeparator" w:id="0">
    <w:p w:rsidR="005A0CD2" w:rsidRDefault="005A0CD2" w:rsidP="005C2B52">
      <w:r>
        <w:continuationSeparator/>
      </w:r>
    </w:p>
  </w:footnote>
  <w:footnote w:id="1">
    <w:p w:rsidR="00F9365E" w:rsidRDefault="00F9365E" w:rsidP="00F9365E">
      <w:pPr>
        <w:contextualSpacing/>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9"/>
    <w:rsid w:val="000876E5"/>
    <w:rsid w:val="00321330"/>
    <w:rsid w:val="0034717E"/>
    <w:rsid w:val="003B4349"/>
    <w:rsid w:val="005A0CD2"/>
    <w:rsid w:val="005C2B52"/>
    <w:rsid w:val="00764EA7"/>
    <w:rsid w:val="007C6360"/>
    <w:rsid w:val="008517F9"/>
    <w:rsid w:val="009B6902"/>
    <w:rsid w:val="00A34FC5"/>
    <w:rsid w:val="00AB6F3E"/>
    <w:rsid w:val="00C3488C"/>
    <w:rsid w:val="00F9365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3E6C1B2-938F-4CC0-83A3-0EDA04EC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B52"/>
    <w:pPr>
      <w:overflowPunct w:val="0"/>
      <w:autoSpaceDE w:val="0"/>
      <w:autoSpaceDN w:val="0"/>
      <w:adjustRightInd w:val="0"/>
      <w:spacing w:after="0" w:line="240" w:lineRule="auto"/>
      <w:textAlignment w:val="baseline"/>
    </w:pPr>
    <w:rPr>
      <w:rFonts w:ascii=".VnTime" w:eastAsia="Times New Roman" w:hAnsi=".VnTime" w:cs="Times New Roman"/>
      <w:sz w:val="24"/>
      <w:szCs w:val="20"/>
      <w:lang w:val="en-US"/>
    </w:rPr>
  </w:style>
  <w:style w:type="paragraph" w:styleId="Heading1">
    <w:name w:val="heading 1"/>
    <w:aliases w:val="Heading 1Q,dieu1,Dieu,so1,Heading 1 Char Char,Binh.part1"/>
    <w:basedOn w:val="Normal"/>
    <w:next w:val="Normal"/>
    <w:link w:val="Heading1Char1"/>
    <w:qFormat/>
    <w:rsid w:val="005C2B52"/>
    <w:pPr>
      <w:keepNext/>
      <w:jc w:val="center"/>
      <w:outlineLvl w:val="0"/>
    </w:pPr>
    <w:rPr>
      <w:rFonts w:ascii=".VnTimeH" w:hAnsi=".VnTime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B52"/>
    <w:rPr>
      <w:rFonts w:asciiTheme="majorHAnsi" w:eastAsiaTheme="majorEastAsia" w:hAnsiTheme="majorHAnsi" w:cstheme="majorBidi"/>
      <w:color w:val="2E74B5" w:themeColor="accent1" w:themeShade="BF"/>
      <w:sz w:val="32"/>
      <w:szCs w:val="32"/>
      <w:lang w:val="en-US"/>
    </w:rPr>
  </w:style>
  <w:style w:type="character" w:customStyle="1" w:styleId="Heading1Char1">
    <w:name w:val="Heading 1 Char1"/>
    <w:aliases w:val="Heading 1Q Char,dieu1 Char,Dieu Char,so1 Char,Heading 1 Char Char Char,Binh.part1 Char"/>
    <w:link w:val="Heading1"/>
    <w:rsid w:val="005C2B52"/>
    <w:rPr>
      <w:rFonts w:ascii=".VnTimeH" w:eastAsia="Times New Roman" w:hAnsi=".VnTimeH" w:cs="Times New Roman"/>
      <w:b/>
      <w:bCs/>
      <w:sz w:val="24"/>
      <w:szCs w:val="20"/>
      <w:lang w:val="en-US"/>
    </w:rPr>
  </w:style>
  <w:style w:type="character" w:customStyle="1" w:styleId="hps">
    <w:name w:val="hps"/>
    <w:basedOn w:val="DefaultParagraphFont"/>
    <w:rsid w:val="005C2B52"/>
  </w:style>
  <w:style w:type="character" w:styleId="FootnoteReference">
    <w:name w:val="footnote reference"/>
    <w:aliases w:val="Footnote,Footnote + Arial,10 pt,Black,ftref,(NECG) Footnote Reference,16 Point,Superscript 6 Point"/>
    <w:semiHidden/>
    <w:rsid w:val="005C2B52"/>
    <w:rPr>
      <w:vertAlign w:val="superscript"/>
    </w:rPr>
  </w:style>
  <w:style w:type="paragraph" w:customStyle="1" w:styleId="ListParagraph1">
    <w:name w:val="List Paragraph1"/>
    <w:aliases w:val="Heading 41"/>
    <w:basedOn w:val="Normal"/>
    <w:link w:val="ListParagraphChar"/>
    <w:uiPriority w:val="34"/>
    <w:qFormat/>
    <w:rsid w:val="00321330"/>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ListParagraphChar">
    <w:name w:val="List Paragraph Char"/>
    <w:aliases w:val="Heading 41 Char"/>
    <w:link w:val="ListParagraph1"/>
    <w:uiPriority w:val="34"/>
    <w:rsid w:val="00321330"/>
    <w:rPr>
      <w:rFonts w:ascii="Calibri" w:eastAsia="Calibri" w:hAnsi="Calibri" w:cs="Times New Roman"/>
      <w:lang w:val="en-US"/>
    </w:rPr>
  </w:style>
  <w:style w:type="character" w:customStyle="1" w:styleId="longtext">
    <w:name w:val="long_text"/>
    <w:basedOn w:val="DefaultParagraphFont"/>
    <w:rsid w:val="00321330"/>
  </w:style>
  <w:style w:type="character" w:styleId="Hyperlink">
    <w:name w:val="Hyperlink"/>
    <w:uiPriority w:val="99"/>
    <w:rsid w:val="00C34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7</cp:revision>
  <dcterms:created xsi:type="dcterms:W3CDTF">2015-06-04T09:05:00Z</dcterms:created>
  <dcterms:modified xsi:type="dcterms:W3CDTF">2015-06-05T08:35:00Z</dcterms:modified>
</cp:coreProperties>
</file>