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09" w:rsidRDefault="00587A09" w:rsidP="00587A09">
      <w:pPr>
        <w:contextualSpacing/>
        <w:jc w:val="center"/>
        <w:rPr>
          <w:rFonts w:ascii="Cambria" w:hAnsi="Cambria" w:cs="Tahoma"/>
          <w:b/>
          <w:sz w:val="28"/>
        </w:rPr>
      </w:pPr>
      <w:r w:rsidRPr="004136D4">
        <w:rPr>
          <w:rFonts w:ascii="Cambria" w:hAnsi="Cambria" w:cs="Tahoma"/>
          <w:b/>
          <w:sz w:val="28"/>
          <w:lang w:val="es-ES"/>
        </w:rPr>
        <w:t>NGHIÊN C</w:t>
      </w:r>
      <w:r w:rsidRPr="004136D4">
        <w:rPr>
          <w:rFonts w:ascii="Cambria" w:hAnsi="Cambria" w:cs="Tahoma"/>
          <w:b/>
          <w:sz w:val="28"/>
        </w:rPr>
        <w:t>ỨU SỰ THAY ĐỔI HÀM LƯỢNG IGE</w:t>
      </w:r>
    </w:p>
    <w:p w:rsidR="00587A09" w:rsidRDefault="00587A09" w:rsidP="00587A09">
      <w:pPr>
        <w:contextualSpacing/>
        <w:jc w:val="center"/>
        <w:rPr>
          <w:rFonts w:ascii="Cambria" w:hAnsi="Cambria" w:cs="Tahoma"/>
          <w:b/>
          <w:sz w:val="28"/>
        </w:rPr>
      </w:pPr>
      <w:r w:rsidRPr="004136D4">
        <w:rPr>
          <w:rFonts w:ascii="Cambria" w:hAnsi="Cambria" w:cs="Tahoma"/>
          <w:b/>
          <w:sz w:val="28"/>
        </w:rPr>
        <w:t>VÀ MỐI TƯƠNG QUAN VỚI PHẢN ỨNG PHÂN HUỶ TẾ BÀO MAST</w:t>
      </w:r>
    </w:p>
    <w:p w:rsidR="00587A09" w:rsidRPr="004136D4" w:rsidRDefault="00587A09" w:rsidP="00587A09">
      <w:pPr>
        <w:contextualSpacing/>
        <w:jc w:val="center"/>
        <w:rPr>
          <w:rFonts w:ascii="Cambria" w:hAnsi="Cambria" w:cs="Tahoma"/>
          <w:b/>
          <w:sz w:val="28"/>
        </w:rPr>
      </w:pPr>
      <w:r w:rsidRPr="004136D4">
        <w:rPr>
          <w:rFonts w:ascii="Cambria" w:hAnsi="Cambria" w:cs="Tahoma"/>
          <w:b/>
          <w:sz w:val="28"/>
        </w:rPr>
        <w:t>TRÊN BỆNH NHÂN DỊ ỨNG THUỐC</w:t>
      </w:r>
    </w:p>
    <w:p w:rsidR="00587A09" w:rsidRPr="00805F80" w:rsidRDefault="00587A09" w:rsidP="00587A09">
      <w:pPr>
        <w:contextualSpacing/>
        <w:jc w:val="both"/>
        <w:rPr>
          <w:rFonts w:ascii="Tahoma" w:hAnsi="Tahoma" w:cs="Tahoma"/>
          <w:b/>
          <w:i/>
          <w:sz w:val="20"/>
        </w:rPr>
      </w:pPr>
      <w:r w:rsidRPr="00805F80">
        <w:rPr>
          <w:rFonts w:ascii="Tahoma" w:hAnsi="Tahoma" w:cs="Tahoma"/>
          <w:b/>
          <w:i/>
          <w:sz w:val="20"/>
        </w:rPr>
        <w:t xml:space="preserve">                                                         </w:t>
      </w:r>
    </w:p>
    <w:p w:rsidR="00587A09" w:rsidRDefault="00587A09" w:rsidP="00587A09">
      <w:pPr>
        <w:contextualSpacing/>
        <w:jc w:val="right"/>
        <w:rPr>
          <w:rFonts w:ascii="Times New Roman" w:hAnsi="Times New Roman"/>
          <w:b/>
          <w:lang w:val="vi-VN"/>
        </w:rPr>
      </w:pPr>
      <w:r w:rsidRPr="00805F80">
        <w:rPr>
          <w:rFonts w:ascii="Tahoma" w:hAnsi="Tahoma" w:cs="Tahoma"/>
          <w:b/>
          <w:i/>
          <w:sz w:val="20"/>
        </w:rPr>
        <w:t xml:space="preserve">                                                                                      </w:t>
      </w:r>
      <w:r w:rsidRPr="00B26D2A">
        <w:rPr>
          <w:rFonts w:ascii="Times New Roman" w:hAnsi="Times New Roman"/>
          <w:b/>
        </w:rPr>
        <w:t>Phạm Công Chính*</w:t>
      </w:r>
    </w:p>
    <w:p w:rsidR="00587A09" w:rsidRPr="00D53AF2" w:rsidRDefault="00587A09" w:rsidP="00587A09">
      <w:pPr>
        <w:contextualSpacing/>
        <w:jc w:val="both"/>
        <w:rPr>
          <w:rFonts w:ascii="Calibri" w:hAnsi="Calibri" w:cs="Tahoma"/>
          <w:b/>
        </w:rPr>
      </w:pPr>
      <w:r w:rsidRPr="00D53AF2">
        <w:rPr>
          <w:rFonts w:ascii="Calibri" w:hAnsi="Calibri" w:cs="Tahoma"/>
          <w:b/>
        </w:rPr>
        <w:t>TÓM TẮT</w:t>
      </w:r>
      <w:r w:rsidRPr="00D53AF2">
        <w:rPr>
          <w:rStyle w:val="FootnoteReference"/>
          <w:rFonts w:ascii="Calibri" w:hAnsi="Calibri" w:cs="Tahoma"/>
          <w:b/>
          <w:sz w:val="2"/>
          <w:szCs w:val="2"/>
        </w:rPr>
        <w:footnoteReference w:id="1"/>
      </w:r>
    </w:p>
    <w:p w:rsidR="00587A09" w:rsidRPr="00AB0F34" w:rsidRDefault="00587A09" w:rsidP="00587A09">
      <w:pPr>
        <w:ind w:firstLine="360"/>
        <w:contextualSpacing/>
        <w:jc w:val="both"/>
        <w:rPr>
          <w:rFonts w:ascii="Tahoma" w:hAnsi="Tahoma" w:cs="Tahoma"/>
          <w:sz w:val="18"/>
          <w:lang w:val="vi-VN"/>
        </w:rPr>
      </w:pPr>
      <w:r w:rsidRPr="00AB0F34">
        <w:rPr>
          <w:rFonts w:ascii="Tahoma" w:hAnsi="Tahoma" w:cs="Tahoma"/>
          <w:b/>
          <w:sz w:val="18"/>
          <w:lang w:val="es-ES"/>
        </w:rPr>
        <w:t>Mục tiêu:</w:t>
      </w:r>
      <w:r w:rsidRPr="00AB0F34">
        <w:rPr>
          <w:rFonts w:ascii="Tahoma" w:hAnsi="Tahoma" w:cs="Tahoma"/>
          <w:sz w:val="18"/>
          <w:lang w:val="es-ES"/>
        </w:rPr>
        <w:t xml:space="preserve"> Xác định sự thay đổi hàm lượng IgE trong huyết thanh và mối tương quan với mức độ phân hủy tế bào mast trên bệnh nhân dị ứng thuốc.</w:t>
      </w:r>
    </w:p>
    <w:p w:rsidR="00587A09" w:rsidRPr="00AB0F34" w:rsidRDefault="00587A09" w:rsidP="00587A09">
      <w:pPr>
        <w:ind w:firstLine="360"/>
        <w:contextualSpacing/>
        <w:jc w:val="both"/>
        <w:rPr>
          <w:rFonts w:ascii="Tahoma" w:hAnsi="Tahoma" w:cs="Tahoma"/>
          <w:sz w:val="18"/>
          <w:lang w:val="vi-VN"/>
        </w:rPr>
      </w:pPr>
      <w:r w:rsidRPr="00AB0F34">
        <w:rPr>
          <w:rFonts w:ascii="Tahoma" w:hAnsi="Tahoma" w:cs="Tahoma"/>
          <w:b/>
          <w:sz w:val="18"/>
          <w:lang w:val="es-ES"/>
        </w:rPr>
        <w:t xml:space="preserve">Đối tượng và phương pháp: </w:t>
      </w:r>
      <w:r w:rsidRPr="00AB0F34">
        <w:rPr>
          <w:rFonts w:ascii="Tahoma" w:hAnsi="Tahoma" w:cs="Tahoma"/>
          <w:sz w:val="18"/>
          <w:lang w:val="es-ES"/>
        </w:rPr>
        <w:t>Nghiên cứu mô tả, tự đối chứng có so sánh trên các bệnh nhân dị ứng thuốc.</w:t>
      </w:r>
    </w:p>
    <w:p w:rsidR="00587A09" w:rsidRPr="00AB0F34" w:rsidRDefault="00587A09" w:rsidP="00587A09">
      <w:pPr>
        <w:ind w:firstLine="360"/>
        <w:contextualSpacing/>
        <w:jc w:val="both"/>
        <w:rPr>
          <w:rFonts w:ascii="Tahoma" w:hAnsi="Tahoma" w:cs="Tahoma"/>
          <w:sz w:val="18"/>
          <w:lang w:val="vi-VN"/>
        </w:rPr>
      </w:pPr>
      <w:r w:rsidRPr="00AB0F34">
        <w:rPr>
          <w:rFonts w:ascii="Tahoma" w:hAnsi="Tahoma" w:cs="Tahoma"/>
          <w:b/>
          <w:sz w:val="18"/>
          <w:lang w:val="es-ES"/>
        </w:rPr>
        <w:t xml:space="preserve">Kết quả: </w:t>
      </w:r>
      <w:r w:rsidRPr="00AB0F34">
        <w:rPr>
          <w:rFonts w:ascii="Tahoma" w:hAnsi="Tahoma" w:cs="Tahoma"/>
          <w:sz w:val="18"/>
          <w:lang w:val="es-ES"/>
        </w:rPr>
        <w:t>Tỷ lệ phản ứng phân hủy tế bào mast ở nhóm nghiên cứu: 86,66%, nhóm chứng: 6,66% (p &lt; 0,001), với nhóm bệnh nhân dị ứng nhanh: 91,30%, nhóm bệnh nhân dị ứng chậm: 59,10% (p &lt;0,01). Hàm lượng IgE trung bình trong huyết thanh chung: 4644,52 ± 2244,92 ng/ml, với nhóm bệnh nhân dị ứng nhanh:: 5322,80 ± 2076,76 ng/ml, nhóm bệnh nhân dị ứng chậm: 4259,55 ± 2385,51 ng/ml. Hàm l</w:t>
      </w:r>
      <w:r w:rsidRPr="00AB0F34">
        <w:rPr>
          <w:rFonts w:ascii="Tahoma" w:hAnsi="Tahoma" w:cs="Tahoma"/>
          <w:sz w:val="18"/>
          <w:lang w:val="vi-VN"/>
        </w:rPr>
        <w:t>ượng IgE trung bình</w:t>
      </w:r>
      <w:r w:rsidRPr="00AB0F34">
        <w:rPr>
          <w:rFonts w:ascii="Tahoma" w:hAnsi="Tahoma" w:cs="Tahoma"/>
          <w:sz w:val="18"/>
          <w:lang w:val="es-ES"/>
        </w:rPr>
        <w:t xml:space="preserve"> trước điều trị: 4644,52 ± 2244,92 ng/ml, sau điều trị: 3241,94 ± 1878,13 ng/ml (p &lt; 0,05). T</w:t>
      </w:r>
      <w:r w:rsidRPr="00AB0F34">
        <w:rPr>
          <w:rFonts w:ascii="Tahoma" w:hAnsi="Tahoma" w:cs="Tahoma"/>
          <w:sz w:val="18"/>
          <w:lang w:val="vi-VN"/>
        </w:rPr>
        <w:t>ương quan giữa hàm lượng IgE huyết thanh và mức độ phân hủy tế bào mast là tương quan</w:t>
      </w:r>
      <w:r w:rsidRPr="00AB0F34">
        <w:rPr>
          <w:rFonts w:ascii="Tahoma" w:hAnsi="Tahoma" w:cs="Tahoma"/>
          <w:sz w:val="18"/>
          <w:lang w:val="es-ES"/>
        </w:rPr>
        <w:t xml:space="preserve"> tuyến tính thuận, chặt chẽ với phương trình Y = 67,95x + 2463,52, r = 0,73, p &lt; 0,001.</w:t>
      </w:r>
    </w:p>
    <w:p w:rsidR="00587A09" w:rsidRPr="00DB48D7" w:rsidRDefault="00587A09" w:rsidP="00587A09">
      <w:pPr>
        <w:ind w:firstLine="360"/>
        <w:contextualSpacing/>
        <w:jc w:val="both"/>
        <w:rPr>
          <w:rFonts w:ascii="Tahoma" w:hAnsi="Tahoma" w:cs="Tahoma"/>
          <w:spacing w:val="-2"/>
          <w:sz w:val="18"/>
          <w:lang w:val="es-ES"/>
        </w:rPr>
      </w:pPr>
      <w:r w:rsidRPr="00DB48D7">
        <w:rPr>
          <w:rFonts w:ascii="Tahoma" w:hAnsi="Tahoma" w:cs="Tahoma"/>
          <w:b/>
          <w:spacing w:val="-2"/>
          <w:sz w:val="18"/>
          <w:lang w:val="es-ES"/>
        </w:rPr>
        <w:t xml:space="preserve">Kết luận: </w:t>
      </w:r>
      <w:r w:rsidRPr="00DB48D7">
        <w:rPr>
          <w:rFonts w:ascii="Tahoma" w:hAnsi="Tahoma" w:cs="Tahoma"/>
          <w:spacing w:val="-2"/>
          <w:sz w:val="18"/>
          <w:lang w:val="es-ES"/>
        </w:rPr>
        <w:t xml:space="preserve">Trong bệnh nhân dị ứng thuốc, hàm lượng IgE huyết thanh tăng gấp nhiều lần chỉ số bình thường, đặc biệt là dị ứng nhanh và có mối tương quan thuận chặt chẽ với mức độ phân hủy tế bào mast. </w:t>
      </w:r>
    </w:p>
    <w:p w:rsidR="00587A09" w:rsidRDefault="00587A09" w:rsidP="00587A09">
      <w:pPr>
        <w:contextualSpacing/>
        <w:jc w:val="both"/>
        <w:rPr>
          <w:rFonts w:ascii="Calibri" w:hAnsi="Calibri" w:cs="Tahoma"/>
          <w:b/>
          <w:lang w:val="es-ES"/>
        </w:rPr>
      </w:pPr>
    </w:p>
    <w:p w:rsidR="00587A09" w:rsidRPr="00D53AF2" w:rsidRDefault="00587A09" w:rsidP="00587A09">
      <w:pPr>
        <w:contextualSpacing/>
        <w:jc w:val="both"/>
        <w:rPr>
          <w:rFonts w:ascii="Calibri" w:hAnsi="Calibri" w:cs="Tahoma"/>
          <w:b/>
          <w:lang w:val="vi-VN"/>
        </w:rPr>
      </w:pPr>
      <w:r w:rsidRPr="00D53AF2">
        <w:rPr>
          <w:rFonts w:ascii="Calibri" w:hAnsi="Calibri" w:cs="Tahoma"/>
          <w:b/>
          <w:lang w:val="es-ES"/>
        </w:rPr>
        <w:t>SUMMARY</w:t>
      </w:r>
    </w:p>
    <w:p w:rsidR="00587A09" w:rsidRDefault="00587A09" w:rsidP="00587A09">
      <w:pPr>
        <w:contextualSpacing/>
        <w:jc w:val="center"/>
        <w:rPr>
          <w:rFonts w:ascii="Tahoma" w:hAnsi="Tahoma" w:cs="Tahoma"/>
          <w:b/>
          <w:sz w:val="20"/>
        </w:rPr>
      </w:pPr>
      <w:r w:rsidRPr="00B26D2A">
        <w:rPr>
          <w:rFonts w:ascii="Tahoma" w:hAnsi="Tahoma" w:cs="Tahoma"/>
          <w:b/>
          <w:sz w:val="20"/>
        </w:rPr>
        <w:t>STUDUING ON CHANGES OF IGE</w:t>
      </w:r>
    </w:p>
    <w:p w:rsidR="00587A09" w:rsidRDefault="00587A09" w:rsidP="00587A09">
      <w:pPr>
        <w:contextualSpacing/>
        <w:jc w:val="center"/>
        <w:rPr>
          <w:rFonts w:ascii="Tahoma" w:hAnsi="Tahoma" w:cs="Tahoma"/>
          <w:b/>
          <w:sz w:val="20"/>
        </w:rPr>
      </w:pPr>
      <w:r w:rsidRPr="00B26D2A">
        <w:rPr>
          <w:rFonts w:ascii="Tahoma" w:hAnsi="Tahoma" w:cs="Tahoma"/>
          <w:b/>
          <w:sz w:val="20"/>
        </w:rPr>
        <w:t>CONTENT AND</w:t>
      </w:r>
      <w:r>
        <w:rPr>
          <w:rFonts w:ascii="Tahoma" w:hAnsi="Tahoma" w:cs="Tahoma"/>
          <w:b/>
          <w:sz w:val="20"/>
        </w:rPr>
        <w:t xml:space="preserve"> </w:t>
      </w:r>
      <w:r w:rsidRPr="00B26D2A">
        <w:rPr>
          <w:rFonts w:ascii="Tahoma" w:hAnsi="Tahoma" w:cs="Tahoma"/>
          <w:b/>
          <w:sz w:val="20"/>
        </w:rPr>
        <w:t>THE CORRELATION</w:t>
      </w:r>
    </w:p>
    <w:p w:rsidR="00587A09" w:rsidRDefault="00587A09" w:rsidP="00587A09">
      <w:pPr>
        <w:contextualSpacing/>
        <w:jc w:val="center"/>
        <w:rPr>
          <w:rFonts w:ascii="Tahoma" w:hAnsi="Tahoma" w:cs="Tahoma"/>
          <w:b/>
          <w:sz w:val="20"/>
        </w:rPr>
      </w:pPr>
      <w:r w:rsidRPr="00B26D2A">
        <w:rPr>
          <w:rFonts w:ascii="Tahoma" w:hAnsi="Tahoma" w:cs="Tahoma"/>
          <w:b/>
          <w:sz w:val="20"/>
        </w:rPr>
        <w:t>TO THE DECOMPOSITION REACTION</w:t>
      </w:r>
    </w:p>
    <w:p w:rsidR="00587A09" w:rsidRDefault="00587A09" w:rsidP="00587A09">
      <w:pPr>
        <w:contextualSpacing/>
        <w:jc w:val="center"/>
        <w:rPr>
          <w:rFonts w:ascii="Tahoma" w:hAnsi="Tahoma" w:cs="Tahoma"/>
          <w:b/>
          <w:sz w:val="20"/>
        </w:rPr>
      </w:pPr>
      <w:r w:rsidRPr="00B26D2A">
        <w:rPr>
          <w:rFonts w:ascii="Tahoma" w:hAnsi="Tahoma" w:cs="Tahoma"/>
          <w:b/>
          <w:sz w:val="20"/>
        </w:rPr>
        <w:t>OF MATOCYTES</w:t>
      </w:r>
      <w:r>
        <w:rPr>
          <w:rFonts w:ascii="Tahoma" w:hAnsi="Tahoma" w:cs="Tahoma"/>
          <w:b/>
          <w:sz w:val="20"/>
        </w:rPr>
        <w:t xml:space="preserve"> </w:t>
      </w:r>
      <w:r w:rsidRPr="00B26D2A">
        <w:rPr>
          <w:rFonts w:ascii="Tahoma" w:hAnsi="Tahoma" w:cs="Tahoma"/>
          <w:b/>
          <w:sz w:val="20"/>
        </w:rPr>
        <w:t>IN PATIENTS</w:t>
      </w:r>
    </w:p>
    <w:p w:rsidR="00587A09" w:rsidRPr="00B26D2A" w:rsidRDefault="00587A09" w:rsidP="00587A09">
      <w:pPr>
        <w:contextualSpacing/>
        <w:jc w:val="center"/>
        <w:rPr>
          <w:rFonts w:ascii="Tahoma" w:hAnsi="Tahoma" w:cs="Tahoma"/>
          <w:b/>
          <w:sz w:val="20"/>
        </w:rPr>
      </w:pPr>
      <w:r w:rsidRPr="00B26D2A">
        <w:rPr>
          <w:rFonts w:ascii="Tahoma" w:hAnsi="Tahoma" w:cs="Tahoma"/>
          <w:b/>
          <w:sz w:val="20"/>
        </w:rPr>
        <w:t>WITH ALLERGIC DRUGS</w:t>
      </w:r>
    </w:p>
    <w:p w:rsidR="00587A09" w:rsidRPr="00DB48D7" w:rsidRDefault="00587A09" w:rsidP="00587A09">
      <w:pPr>
        <w:ind w:firstLine="360"/>
        <w:contextualSpacing/>
        <w:jc w:val="both"/>
        <w:rPr>
          <w:rStyle w:val="hps"/>
          <w:rFonts w:ascii="Tahoma" w:hAnsi="Tahoma" w:cs="Tahoma"/>
          <w:spacing w:val="-6"/>
          <w:sz w:val="18"/>
          <w:lang w:val="vi-VN"/>
        </w:rPr>
      </w:pPr>
      <w:r w:rsidRPr="00DB48D7">
        <w:rPr>
          <w:rStyle w:val="hps"/>
          <w:rFonts w:ascii="Tahoma" w:hAnsi="Tahoma" w:cs="Tahoma"/>
          <w:b/>
          <w:spacing w:val="-6"/>
          <w:sz w:val="18"/>
          <w:lang w:val="en"/>
        </w:rPr>
        <w:t>Objectives</w:t>
      </w:r>
      <w:r w:rsidRPr="00DB48D7">
        <w:rPr>
          <w:rStyle w:val="hps"/>
          <w:rFonts w:ascii="Tahoma" w:hAnsi="Tahoma" w:cs="Tahoma"/>
          <w:spacing w:val="-6"/>
          <w:sz w:val="18"/>
          <w:lang w:val="en"/>
        </w:rPr>
        <w:t>:</w:t>
      </w:r>
      <w:r w:rsidRPr="00DB48D7">
        <w:rPr>
          <w:rFonts w:ascii="Tahoma" w:hAnsi="Tahoma" w:cs="Tahoma"/>
          <w:spacing w:val="-6"/>
          <w:sz w:val="18"/>
          <w:lang w:val="en"/>
        </w:rPr>
        <w:t xml:space="preserve"> </w:t>
      </w:r>
      <w:r w:rsidRPr="00DB48D7">
        <w:rPr>
          <w:rStyle w:val="hps"/>
          <w:rFonts w:ascii="Tahoma" w:hAnsi="Tahoma" w:cs="Tahoma"/>
          <w:spacing w:val="-6"/>
          <w:sz w:val="18"/>
          <w:lang w:val="en"/>
        </w:rPr>
        <w:t>Determining</w:t>
      </w:r>
      <w:r w:rsidRPr="00DB48D7">
        <w:rPr>
          <w:rFonts w:ascii="Tahoma" w:hAnsi="Tahoma" w:cs="Tahoma"/>
          <w:spacing w:val="-6"/>
          <w:sz w:val="18"/>
          <w:lang w:val="en"/>
        </w:rPr>
        <w:t xml:space="preserve"> </w:t>
      </w:r>
      <w:r w:rsidRPr="00DB48D7">
        <w:rPr>
          <w:rStyle w:val="hps"/>
          <w:rFonts w:ascii="Tahoma" w:hAnsi="Tahoma" w:cs="Tahoma"/>
          <w:spacing w:val="-6"/>
          <w:sz w:val="18"/>
          <w:lang w:val="en"/>
        </w:rPr>
        <w:t>the change</w:t>
      </w:r>
      <w:r w:rsidRPr="00DB48D7">
        <w:rPr>
          <w:rFonts w:ascii="Tahoma" w:hAnsi="Tahoma" w:cs="Tahoma"/>
          <w:spacing w:val="-6"/>
          <w:sz w:val="18"/>
          <w:lang w:val="en"/>
        </w:rPr>
        <w:t xml:space="preserve"> of the </w:t>
      </w:r>
      <w:r w:rsidRPr="00DB48D7">
        <w:rPr>
          <w:rStyle w:val="hps"/>
          <w:rFonts w:ascii="Tahoma" w:hAnsi="Tahoma" w:cs="Tahoma"/>
          <w:spacing w:val="-6"/>
          <w:sz w:val="18"/>
          <w:lang w:val="en"/>
        </w:rPr>
        <w:t>serum IgE</w:t>
      </w:r>
      <w:r w:rsidRPr="00DB48D7">
        <w:rPr>
          <w:rFonts w:ascii="Tahoma" w:hAnsi="Tahoma" w:cs="Tahoma"/>
          <w:spacing w:val="-6"/>
          <w:sz w:val="18"/>
          <w:lang w:val="en"/>
        </w:rPr>
        <w:t xml:space="preserve"> </w:t>
      </w:r>
      <w:r w:rsidRPr="00DB48D7">
        <w:rPr>
          <w:rStyle w:val="hps"/>
          <w:rFonts w:ascii="Tahoma" w:hAnsi="Tahoma" w:cs="Tahoma"/>
          <w:spacing w:val="-6"/>
          <w:sz w:val="18"/>
          <w:lang w:val="en"/>
        </w:rPr>
        <w:t>levels</w:t>
      </w:r>
      <w:r w:rsidRPr="00DB48D7">
        <w:rPr>
          <w:rFonts w:ascii="Tahoma" w:hAnsi="Tahoma" w:cs="Tahoma"/>
          <w:spacing w:val="-6"/>
          <w:sz w:val="18"/>
          <w:lang w:val="en"/>
        </w:rPr>
        <w:t xml:space="preserve"> </w:t>
      </w:r>
      <w:r w:rsidRPr="00DB48D7">
        <w:rPr>
          <w:rStyle w:val="hps"/>
          <w:rFonts w:ascii="Tahoma" w:hAnsi="Tahoma" w:cs="Tahoma"/>
          <w:spacing w:val="-6"/>
          <w:sz w:val="18"/>
          <w:lang w:val="en"/>
        </w:rPr>
        <w:t>and</w:t>
      </w:r>
      <w:r w:rsidRPr="00DB48D7">
        <w:rPr>
          <w:rFonts w:ascii="Tahoma" w:hAnsi="Tahoma" w:cs="Tahoma"/>
          <w:spacing w:val="-6"/>
          <w:sz w:val="18"/>
          <w:lang w:val="en"/>
        </w:rPr>
        <w:t xml:space="preserve"> </w:t>
      </w:r>
      <w:r w:rsidRPr="00DB48D7">
        <w:rPr>
          <w:rStyle w:val="hps"/>
          <w:rFonts w:ascii="Tahoma" w:hAnsi="Tahoma" w:cs="Tahoma"/>
          <w:spacing w:val="-6"/>
          <w:sz w:val="18"/>
          <w:lang w:val="en"/>
        </w:rPr>
        <w:t>correlation with the degree of</w:t>
      </w:r>
      <w:r w:rsidRPr="00DB48D7">
        <w:rPr>
          <w:rFonts w:ascii="Tahoma" w:hAnsi="Tahoma" w:cs="Tahoma"/>
          <w:spacing w:val="-6"/>
          <w:sz w:val="18"/>
          <w:lang w:val="en"/>
        </w:rPr>
        <w:t xml:space="preserve"> </w:t>
      </w:r>
      <w:r w:rsidRPr="00DB48D7">
        <w:rPr>
          <w:rStyle w:val="hps"/>
          <w:rFonts w:ascii="Tahoma" w:hAnsi="Tahoma" w:cs="Tahoma"/>
          <w:spacing w:val="-6"/>
          <w:sz w:val="18"/>
          <w:lang w:val="en"/>
        </w:rPr>
        <w:t>decomposition of</w:t>
      </w:r>
      <w:r w:rsidRPr="00DB48D7">
        <w:rPr>
          <w:rFonts w:ascii="Tahoma" w:hAnsi="Tahoma" w:cs="Tahoma"/>
          <w:spacing w:val="-6"/>
          <w:sz w:val="18"/>
          <w:lang w:val="en"/>
        </w:rPr>
        <w:t xml:space="preserve"> </w:t>
      </w:r>
      <w:r w:rsidRPr="00DB48D7">
        <w:rPr>
          <w:rStyle w:val="hps"/>
          <w:rFonts w:ascii="Tahoma" w:hAnsi="Tahoma" w:cs="Tahoma"/>
          <w:spacing w:val="-6"/>
          <w:sz w:val="18"/>
          <w:lang w:val="en"/>
        </w:rPr>
        <w:t>mast cells</w:t>
      </w:r>
      <w:r w:rsidRPr="00DB48D7">
        <w:rPr>
          <w:rFonts w:ascii="Tahoma" w:hAnsi="Tahoma" w:cs="Tahoma"/>
          <w:spacing w:val="-6"/>
          <w:sz w:val="18"/>
          <w:lang w:val="en"/>
        </w:rPr>
        <w:t xml:space="preserve"> </w:t>
      </w:r>
      <w:r w:rsidRPr="00DB48D7">
        <w:rPr>
          <w:rStyle w:val="hps"/>
          <w:rFonts w:ascii="Tahoma" w:hAnsi="Tahoma" w:cs="Tahoma"/>
          <w:spacing w:val="-6"/>
          <w:sz w:val="18"/>
          <w:lang w:val="en"/>
        </w:rPr>
        <w:t>in patients with</w:t>
      </w:r>
      <w:r w:rsidRPr="00DB48D7">
        <w:rPr>
          <w:rFonts w:ascii="Tahoma" w:hAnsi="Tahoma" w:cs="Tahoma"/>
          <w:spacing w:val="-6"/>
          <w:sz w:val="18"/>
          <w:lang w:val="en"/>
        </w:rPr>
        <w:t xml:space="preserve"> </w:t>
      </w:r>
      <w:r w:rsidRPr="00DB48D7">
        <w:rPr>
          <w:rStyle w:val="hps"/>
          <w:rFonts w:ascii="Tahoma" w:hAnsi="Tahoma" w:cs="Tahoma"/>
          <w:spacing w:val="-6"/>
          <w:sz w:val="18"/>
          <w:lang w:val="en"/>
        </w:rPr>
        <w:t>drug allergies.</w:t>
      </w:r>
    </w:p>
    <w:p w:rsidR="00587A09" w:rsidRPr="00AB0F34" w:rsidRDefault="00587A09" w:rsidP="00587A09">
      <w:pPr>
        <w:ind w:firstLine="360"/>
        <w:contextualSpacing/>
        <w:jc w:val="both"/>
        <w:rPr>
          <w:rFonts w:ascii="Tahoma" w:hAnsi="Tahoma" w:cs="Tahoma"/>
          <w:sz w:val="18"/>
          <w:lang w:val="vi-VN"/>
        </w:rPr>
      </w:pPr>
      <w:r w:rsidRPr="00AB0F34">
        <w:rPr>
          <w:rFonts w:ascii="Tahoma" w:hAnsi="Tahoma" w:cs="Tahoma"/>
          <w:b/>
          <w:sz w:val="18"/>
          <w:lang w:val="en"/>
        </w:rPr>
        <w:t>Subjects and Methods</w:t>
      </w:r>
      <w:r w:rsidRPr="00AB0F34">
        <w:rPr>
          <w:rFonts w:ascii="Tahoma" w:hAnsi="Tahoma" w:cs="Tahoma"/>
          <w:sz w:val="18"/>
          <w:lang w:val="en"/>
        </w:rPr>
        <w:t>: This paper is a described and self-controlled study avaiable comparison in patients with drug allergies.</w:t>
      </w:r>
    </w:p>
    <w:p w:rsidR="00587A09" w:rsidRPr="00AB0F34" w:rsidRDefault="00587A09" w:rsidP="00587A09">
      <w:pPr>
        <w:ind w:firstLine="360"/>
        <w:contextualSpacing/>
        <w:jc w:val="both"/>
        <w:rPr>
          <w:rFonts w:ascii="Tahoma" w:hAnsi="Tahoma" w:cs="Tahoma"/>
          <w:sz w:val="18"/>
          <w:lang w:val="vi-VN"/>
        </w:rPr>
      </w:pPr>
      <w:r w:rsidRPr="00AB0F34">
        <w:rPr>
          <w:rFonts w:ascii="Tahoma" w:hAnsi="Tahoma" w:cs="Tahoma"/>
          <w:b/>
          <w:sz w:val="18"/>
          <w:lang w:val="en"/>
        </w:rPr>
        <w:t>Results</w:t>
      </w:r>
      <w:r w:rsidRPr="00AB0F34">
        <w:rPr>
          <w:rFonts w:ascii="Tahoma" w:hAnsi="Tahoma" w:cs="Tahoma"/>
          <w:sz w:val="18"/>
          <w:lang w:val="en"/>
        </w:rPr>
        <w:t xml:space="preserve">: The rates of decomposition reaction of mast cells of the studied group, the control group, the patient group with the rapid allergic reaction and the patient group with the low allergic reaction are 86.66%, 6.66% (p &lt;0.001), 91.30% and 59.10% (p &lt;0.01) </w:t>
      </w:r>
      <w:r w:rsidRPr="00AB0F34">
        <w:rPr>
          <w:rFonts w:ascii="Tahoma" w:hAnsi="Tahoma" w:cs="Tahoma"/>
          <w:sz w:val="18"/>
          <w:lang w:val="es-ES"/>
        </w:rPr>
        <w:t>respectively</w:t>
      </w:r>
      <w:r w:rsidRPr="00AB0F34">
        <w:rPr>
          <w:rFonts w:ascii="Tahoma" w:hAnsi="Tahoma" w:cs="Tahoma"/>
          <w:sz w:val="18"/>
          <w:lang w:val="en"/>
        </w:rPr>
        <w:t xml:space="preserve">.The general </w:t>
      </w:r>
      <w:r w:rsidRPr="00AB0F34">
        <w:rPr>
          <w:rStyle w:val="hps"/>
          <w:rFonts w:ascii="Tahoma" w:hAnsi="Tahoma" w:cs="Tahoma"/>
          <w:sz w:val="18"/>
          <w:lang w:val="en"/>
        </w:rPr>
        <w:t>serum IgE</w:t>
      </w:r>
      <w:r w:rsidRPr="00AB0F34">
        <w:rPr>
          <w:rFonts w:ascii="Tahoma" w:hAnsi="Tahoma" w:cs="Tahoma"/>
          <w:sz w:val="18"/>
          <w:lang w:val="en"/>
        </w:rPr>
        <w:t xml:space="preserve"> </w:t>
      </w:r>
      <w:r w:rsidRPr="00AB0F34">
        <w:rPr>
          <w:rStyle w:val="hps"/>
          <w:rFonts w:ascii="Tahoma" w:hAnsi="Tahoma" w:cs="Tahoma"/>
          <w:sz w:val="18"/>
          <w:lang w:val="en"/>
        </w:rPr>
        <w:t xml:space="preserve">level in average is </w:t>
      </w:r>
      <w:r w:rsidRPr="00AB0F34">
        <w:rPr>
          <w:rFonts w:ascii="Tahoma" w:hAnsi="Tahoma" w:cs="Tahoma"/>
          <w:sz w:val="18"/>
          <w:lang w:val="es-ES"/>
        </w:rPr>
        <w:t xml:space="preserve">4644.52 ± 2244.92 ng/ml. The </w:t>
      </w:r>
      <w:r w:rsidRPr="00AB0F34">
        <w:rPr>
          <w:rStyle w:val="hps"/>
          <w:rFonts w:ascii="Tahoma" w:hAnsi="Tahoma" w:cs="Tahoma"/>
          <w:sz w:val="18"/>
          <w:lang w:val="en"/>
        </w:rPr>
        <w:t>serum IgE</w:t>
      </w:r>
      <w:r w:rsidRPr="00AB0F34">
        <w:rPr>
          <w:rFonts w:ascii="Tahoma" w:hAnsi="Tahoma" w:cs="Tahoma"/>
          <w:sz w:val="18"/>
          <w:lang w:val="en"/>
        </w:rPr>
        <w:t xml:space="preserve"> </w:t>
      </w:r>
      <w:r w:rsidRPr="00AB0F34">
        <w:rPr>
          <w:rStyle w:val="hps"/>
          <w:rFonts w:ascii="Tahoma" w:hAnsi="Tahoma" w:cs="Tahoma"/>
          <w:sz w:val="18"/>
          <w:lang w:val="en"/>
        </w:rPr>
        <w:t xml:space="preserve">levels of </w:t>
      </w:r>
      <w:r w:rsidRPr="00AB0F34">
        <w:rPr>
          <w:rFonts w:ascii="Tahoma" w:hAnsi="Tahoma" w:cs="Tahoma"/>
          <w:sz w:val="18"/>
          <w:lang w:val="en"/>
        </w:rPr>
        <w:t xml:space="preserve">the patient group with the rapid allergic reaction and the patient group with the low allergic reaction are </w:t>
      </w:r>
      <w:r w:rsidRPr="00AB0F34">
        <w:rPr>
          <w:rFonts w:ascii="Tahoma" w:hAnsi="Tahoma" w:cs="Tahoma"/>
          <w:sz w:val="18"/>
          <w:lang w:val="es-ES"/>
        </w:rPr>
        <w:t xml:space="preserve">5322.80 ± 2076.76 ng/ml and 4259.55 ± 2385.51 ng/ml respectively. The </w:t>
      </w:r>
      <w:r w:rsidRPr="00AB0F34">
        <w:rPr>
          <w:rStyle w:val="hps"/>
          <w:rFonts w:ascii="Tahoma" w:hAnsi="Tahoma" w:cs="Tahoma"/>
          <w:sz w:val="18"/>
          <w:lang w:val="en"/>
        </w:rPr>
        <w:t>serum IgE</w:t>
      </w:r>
      <w:r w:rsidRPr="00AB0F34">
        <w:rPr>
          <w:rFonts w:ascii="Tahoma" w:hAnsi="Tahoma" w:cs="Tahoma"/>
          <w:sz w:val="18"/>
          <w:lang w:val="en"/>
        </w:rPr>
        <w:t xml:space="preserve"> </w:t>
      </w:r>
      <w:r w:rsidRPr="00AB0F34">
        <w:rPr>
          <w:rStyle w:val="hps"/>
          <w:rFonts w:ascii="Tahoma" w:hAnsi="Tahoma" w:cs="Tahoma"/>
          <w:sz w:val="18"/>
          <w:lang w:val="en"/>
        </w:rPr>
        <w:t xml:space="preserve">levels in average before and after treatment are </w:t>
      </w:r>
      <w:r w:rsidRPr="00AB0F34">
        <w:rPr>
          <w:rFonts w:ascii="Tahoma" w:hAnsi="Tahoma" w:cs="Tahoma"/>
          <w:sz w:val="18"/>
          <w:lang w:val="es-ES"/>
        </w:rPr>
        <w:t xml:space="preserve">4644.52 ± 2244.92 ng/ml and 3241.94 ± 1878.13 ng/ml (p &lt; 0,05) respectively. </w:t>
      </w:r>
      <w:r w:rsidRPr="00AB0F34">
        <w:rPr>
          <w:rStyle w:val="hps"/>
          <w:rFonts w:ascii="Tahoma" w:hAnsi="Tahoma" w:cs="Tahoma"/>
          <w:sz w:val="18"/>
          <w:lang w:val="en"/>
        </w:rPr>
        <w:t>The correlation between</w:t>
      </w:r>
      <w:r w:rsidRPr="00AB0F34">
        <w:rPr>
          <w:rFonts w:ascii="Tahoma" w:hAnsi="Tahoma" w:cs="Tahoma"/>
          <w:sz w:val="18"/>
          <w:lang w:val="en"/>
        </w:rPr>
        <w:t xml:space="preserve"> </w:t>
      </w:r>
      <w:r w:rsidRPr="00AB0F34">
        <w:rPr>
          <w:rStyle w:val="hps"/>
          <w:rFonts w:ascii="Tahoma" w:hAnsi="Tahoma" w:cs="Tahoma"/>
          <w:sz w:val="18"/>
          <w:lang w:val="en"/>
        </w:rPr>
        <w:t>serum</w:t>
      </w:r>
      <w:r w:rsidRPr="00AB0F34">
        <w:rPr>
          <w:rFonts w:ascii="Tahoma" w:hAnsi="Tahoma" w:cs="Tahoma"/>
          <w:sz w:val="18"/>
          <w:lang w:val="en"/>
        </w:rPr>
        <w:t xml:space="preserve"> </w:t>
      </w:r>
      <w:r w:rsidRPr="00AB0F34">
        <w:rPr>
          <w:rStyle w:val="hps"/>
          <w:rFonts w:ascii="Tahoma" w:hAnsi="Tahoma" w:cs="Tahoma"/>
          <w:sz w:val="18"/>
          <w:lang w:val="en"/>
        </w:rPr>
        <w:t>IgE</w:t>
      </w:r>
      <w:r w:rsidRPr="00AB0F34">
        <w:rPr>
          <w:rFonts w:ascii="Tahoma" w:hAnsi="Tahoma" w:cs="Tahoma"/>
          <w:sz w:val="18"/>
          <w:lang w:val="en"/>
        </w:rPr>
        <w:t xml:space="preserve"> </w:t>
      </w:r>
      <w:r w:rsidRPr="00AB0F34">
        <w:rPr>
          <w:rStyle w:val="hps"/>
          <w:rFonts w:ascii="Tahoma" w:hAnsi="Tahoma" w:cs="Tahoma"/>
          <w:sz w:val="18"/>
          <w:lang w:val="en"/>
        </w:rPr>
        <w:t>levels</w:t>
      </w:r>
      <w:r w:rsidRPr="00AB0F34">
        <w:rPr>
          <w:rFonts w:ascii="Tahoma" w:hAnsi="Tahoma" w:cs="Tahoma"/>
          <w:sz w:val="18"/>
          <w:lang w:val="en"/>
        </w:rPr>
        <w:t xml:space="preserve"> </w:t>
      </w:r>
      <w:r w:rsidRPr="00AB0F34">
        <w:rPr>
          <w:rStyle w:val="hps"/>
          <w:rFonts w:ascii="Tahoma" w:hAnsi="Tahoma" w:cs="Tahoma"/>
          <w:sz w:val="18"/>
          <w:lang w:val="en"/>
        </w:rPr>
        <w:t xml:space="preserve">and levels of </w:t>
      </w:r>
      <w:r w:rsidRPr="00AB0F34">
        <w:rPr>
          <w:rStyle w:val="hpsalt-edited"/>
          <w:rFonts w:ascii="Tahoma" w:hAnsi="Tahoma" w:cs="Tahoma"/>
          <w:sz w:val="18"/>
          <w:lang w:val="en"/>
        </w:rPr>
        <w:t>decomposition of</w:t>
      </w:r>
      <w:r w:rsidRPr="00AB0F34">
        <w:rPr>
          <w:rFonts w:ascii="Tahoma" w:hAnsi="Tahoma" w:cs="Tahoma"/>
          <w:sz w:val="18"/>
          <w:lang w:val="en"/>
        </w:rPr>
        <w:t xml:space="preserve"> </w:t>
      </w:r>
      <w:r w:rsidRPr="00AB0F34">
        <w:rPr>
          <w:rStyle w:val="hps"/>
          <w:rFonts w:ascii="Tahoma" w:hAnsi="Tahoma" w:cs="Tahoma"/>
          <w:sz w:val="18"/>
          <w:lang w:val="en"/>
        </w:rPr>
        <w:t>mast cells</w:t>
      </w:r>
      <w:r w:rsidRPr="00AB0F34">
        <w:rPr>
          <w:rFonts w:ascii="Tahoma" w:hAnsi="Tahoma" w:cs="Tahoma"/>
          <w:sz w:val="18"/>
          <w:lang w:val="en"/>
        </w:rPr>
        <w:t xml:space="preserve"> </w:t>
      </w:r>
      <w:r w:rsidRPr="00AB0F34">
        <w:rPr>
          <w:rStyle w:val="hps"/>
          <w:rFonts w:ascii="Tahoma" w:hAnsi="Tahoma" w:cs="Tahoma"/>
          <w:sz w:val="18"/>
          <w:lang w:val="en"/>
        </w:rPr>
        <w:t>are</w:t>
      </w:r>
      <w:r w:rsidRPr="00AB0F34">
        <w:rPr>
          <w:rFonts w:ascii="Tahoma" w:hAnsi="Tahoma" w:cs="Tahoma"/>
          <w:sz w:val="18"/>
          <w:lang w:val="en"/>
        </w:rPr>
        <w:t xml:space="preserve"> </w:t>
      </w:r>
      <w:r w:rsidRPr="00AB0F34">
        <w:rPr>
          <w:rStyle w:val="hps"/>
          <w:rFonts w:ascii="Tahoma" w:hAnsi="Tahoma" w:cs="Tahoma"/>
          <w:sz w:val="18"/>
          <w:lang w:val="en"/>
        </w:rPr>
        <w:t>positive</w:t>
      </w:r>
      <w:r w:rsidRPr="00AB0F34">
        <w:rPr>
          <w:rFonts w:ascii="Tahoma" w:hAnsi="Tahoma" w:cs="Tahoma"/>
          <w:sz w:val="18"/>
          <w:lang w:val="en"/>
        </w:rPr>
        <w:t xml:space="preserve"> </w:t>
      </w:r>
      <w:r w:rsidRPr="00AB0F34">
        <w:rPr>
          <w:rStyle w:val="hps"/>
          <w:rFonts w:ascii="Tahoma" w:hAnsi="Tahoma" w:cs="Tahoma"/>
          <w:sz w:val="18"/>
          <w:lang w:val="en"/>
        </w:rPr>
        <w:t>linear correlation</w:t>
      </w:r>
      <w:r w:rsidRPr="00AB0F34">
        <w:rPr>
          <w:rFonts w:ascii="Tahoma" w:hAnsi="Tahoma" w:cs="Tahoma"/>
          <w:sz w:val="18"/>
          <w:lang w:val="en"/>
        </w:rPr>
        <w:t xml:space="preserve"> and has</w:t>
      </w:r>
      <w:r w:rsidRPr="00AB0F34">
        <w:rPr>
          <w:rStyle w:val="hpsalt-edited"/>
          <w:rFonts w:ascii="Tahoma" w:hAnsi="Tahoma" w:cs="Tahoma"/>
          <w:sz w:val="18"/>
          <w:lang w:val="en"/>
        </w:rPr>
        <w:t>closely to</w:t>
      </w:r>
      <w:r w:rsidRPr="00AB0F34">
        <w:rPr>
          <w:rFonts w:ascii="Tahoma" w:hAnsi="Tahoma" w:cs="Tahoma"/>
          <w:sz w:val="18"/>
          <w:lang w:val="es-ES"/>
        </w:rPr>
        <w:t xml:space="preserve"> </w:t>
      </w:r>
      <w:r w:rsidRPr="00AB0F34">
        <w:rPr>
          <w:rStyle w:val="hps"/>
          <w:rFonts w:ascii="Tahoma" w:hAnsi="Tahoma" w:cs="Tahoma"/>
          <w:sz w:val="18"/>
          <w:lang w:val="en"/>
        </w:rPr>
        <w:t xml:space="preserve">equation </w:t>
      </w:r>
      <w:r w:rsidRPr="00AB0F34">
        <w:rPr>
          <w:rFonts w:ascii="Tahoma" w:hAnsi="Tahoma" w:cs="Tahoma"/>
          <w:sz w:val="18"/>
          <w:lang w:val="es-ES"/>
        </w:rPr>
        <w:t>Y = 67.95x + 2463.52, r = 0.73, p &lt; 0.001.</w:t>
      </w:r>
    </w:p>
    <w:p w:rsidR="00587A09" w:rsidRPr="00AB0F34" w:rsidRDefault="00587A09" w:rsidP="00587A09">
      <w:pPr>
        <w:ind w:firstLine="360"/>
        <w:contextualSpacing/>
        <w:jc w:val="both"/>
        <w:rPr>
          <w:rFonts w:ascii="Tahoma" w:hAnsi="Tahoma" w:cs="Tahoma"/>
          <w:sz w:val="18"/>
          <w:lang w:val="es-ES"/>
        </w:rPr>
      </w:pPr>
      <w:r w:rsidRPr="00AB0F34">
        <w:rPr>
          <w:rFonts w:ascii="Tahoma" w:hAnsi="Tahoma" w:cs="Tahoma"/>
          <w:b/>
          <w:sz w:val="18"/>
          <w:lang w:val="es-ES"/>
        </w:rPr>
        <w:t>Conclusion</w:t>
      </w:r>
      <w:r w:rsidRPr="00AB0F34">
        <w:rPr>
          <w:rFonts w:ascii="Tahoma" w:hAnsi="Tahoma" w:cs="Tahoma"/>
          <w:sz w:val="18"/>
          <w:lang w:val="es-ES"/>
        </w:rPr>
        <w:t xml:space="preserve">: Serum IgE levels of the patients with drug arlergic reaction increase many times comparing with normal indexes, in particular rapid arllergic reaction and has the positive corelation closely to decomposition of mast cells. </w:t>
      </w:r>
    </w:p>
    <w:p w:rsidR="007C6360" w:rsidRPr="00587A09" w:rsidRDefault="007C6360" w:rsidP="00587A09"/>
    <w:sectPr w:rsidR="007C6360" w:rsidRPr="00587A0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6A" w:rsidRDefault="0019796A" w:rsidP="00965E74">
      <w:r>
        <w:separator/>
      </w:r>
    </w:p>
  </w:endnote>
  <w:endnote w:type="continuationSeparator" w:id="0">
    <w:p w:rsidR="0019796A" w:rsidRDefault="0019796A" w:rsidP="0096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6A" w:rsidRDefault="0019796A" w:rsidP="00965E74">
      <w:r>
        <w:separator/>
      </w:r>
    </w:p>
  </w:footnote>
  <w:footnote w:type="continuationSeparator" w:id="0">
    <w:p w:rsidR="0019796A" w:rsidRDefault="0019796A" w:rsidP="00965E74">
      <w:r>
        <w:continuationSeparator/>
      </w:r>
    </w:p>
  </w:footnote>
  <w:footnote w:id="1">
    <w:p w:rsidR="00587A09" w:rsidRPr="00B26D2A" w:rsidRDefault="00587A09" w:rsidP="00587A09">
      <w:pPr>
        <w:contextualSpacing/>
        <w:jc w:val="both"/>
        <w:rPr>
          <w:rFonts w:ascii="Tahoma" w:hAnsi="Tahoma" w:cs="Tahoma"/>
          <w:bCs/>
          <w:color w:val="000000"/>
          <w:sz w:val="20"/>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BB"/>
    <w:rsid w:val="0019796A"/>
    <w:rsid w:val="00297C76"/>
    <w:rsid w:val="003F7567"/>
    <w:rsid w:val="00587A09"/>
    <w:rsid w:val="007C6360"/>
    <w:rsid w:val="007D5BBB"/>
    <w:rsid w:val="00885F75"/>
    <w:rsid w:val="00965E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306C8-5FE0-480F-8F67-696D574A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74"/>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965E74"/>
    <w:rPr>
      <w:vertAlign w:val="superscript"/>
    </w:rPr>
  </w:style>
  <w:style w:type="paragraph" w:styleId="NormalWeb">
    <w:name w:val="Normal (Web)"/>
    <w:basedOn w:val="Normal"/>
    <w:uiPriority w:val="99"/>
    <w:unhideWhenUsed/>
    <w:rsid w:val="00965E7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ps">
    <w:name w:val="hps"/>
    <w:basedOn w:val="DefaultParagraphFont"/>
    <w:rsid w:val="00587A09"/>
  </w:style>
  <w:style w:type="character" w:customStyle="1" w:styleId="hpsalt-edited">
    <w:name w:val="hps alt-edited"/>
    <w:basedOn w:val="DefaultParagraphFont"/>
    <w:rsid w:val="0058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2015-06-04T08:38:00Z</dcterms:created>
  <dcterms:modified xsi:type="dcterms:W3CDTF">2015-06-05T08:30:00Z</dcterms:modified>
</cp:coreProperties>
</file>