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A81" w:rsidRPr="00CC2DC1" w:rsidRDefault="00742A81" w:rsidP="00742A81">
      <w:pPr>
        <w:jc w:val="center"/>
        <w:rPr>
          <w:rFonts w:ascii="Cambria" w:eastAsia="TimesNewRomanPS-BoldMT" w:hAnsi="Cambria" w:cs="Tahoma"/>
          <w:b/>
          <w:bCs/>
          <w:sz w:val="28"/>
        </w:rPr>
      </w:pPr>
      <w:r w:rsidRPr="00CC2DC1">
        <w:rPr>
          <w:rFonts w:ascii="Cambria" w:eastAsia="TimesNewRomanPS-BoldMT" w:hAnsi="Cambria" w:cs="Tahoma"/>
          <w:b/>
          <w:bCs/>
          <w:sz w:val="28"/>
        </w:rPr>
        <w:t>ĐẶC ĐIỂM LÂM SÀNG, CẬN LÂM SÀNG VÀ LIÊN QUAN GIỮA CHÚNG CỦA UNG THƯ DƯƠNG VẬT TẠI VIỆN K 2008-2014</w:t>
      </w:r>
    </w:p>
    <w:p w:rsidR="00742A81" w:rsidRPr="009B1CBB" w:rsidRDefault="00742A81" w:rsidP="00742A81">
      <w:pPr>
        <w:jc w:val="both"/>
        <w:rPr>
          <w:rFonts w:ascii="Tahoma" w:eastAsia="TimesNewRomanPS-BoldMT" w:hAnsi="Tahoma" w:cs="Tahoma"/>
          <w:b/>
          <w:bCs/>
          <w:sz w:val="20"/>
        </w:rPr>
      </w:pPr>
    </w:p>
    <w:p w:rsidR="00742A81" w:rsidRPr="001B1778" w:rsidRDefault="00742A81" w:rsidP="00742A81">
      <w:pPr>
        <w:jc w:val="right"/>
        <w:rPr>
          <w:rFonts w:ascii="Tahoma" w:eastAsia="TimesNewRomanPS-BoldMT" w:hAnsi="Tahoma" w:cs="Tahoma"/>
          <w:b/>
          <w:bCs/>
          <w:sz w:val="20"/>
        </w:rPr>
      </w:pPr>
      <w:r w:rsidRPr="009B1CBB">
        <w:rPr>
          <w:rFonts w:ascii="Tahoma" w:eastAsia="TimesNewRomanPS-BoldMT" w:hAnsi="Tahoma" w:cs="Tahoma"/>
          <w:b/>
          <w:bCs/>
          <w:sz w:val="20"/>
        </w:rPr>
        <w:t xml:space="preserve">                                                 </w:t>
      </w:r>
      <w:r w:rsidRPr="001B1778">
        <w:rPr>
          <w:rFonts w:ascii="Tahoma" w:eastAsia="TimesNewRomanPS-BoldMT" w:hAnsi="Tahoma" w:cs="Tahoma"/>
          <w:b/>
          <w:bCs/>
          <w:sz w:val="20"/>
        </w:rPr>
        <w:t>Vũ Thanh Phương</w:t>
      </w:r>
      <w:r>
        <w:rPr>
          <w:rFonts w:ascii="Tahoma" w:eastAsia="TimesNewRomanPS-BoldMT" w:hAnsi="Tahoma" w:cs="Tahoma"/>
          <w:b/>
          <w:bCs/>
          <w:sz w:val="20"/>
          <w:lang w:val="vi-VN"/>
        </w:rPr>
        <w:t>*</w:t>
      </w:r>
      <w:r w:rsidRPr="001B1778">
        <w:rPr>
          <w:rFonts w:ascii="Tahoma" w:eastAsia="TimesNewRomanPS-BoldMT" w:hAnsi="Tahoma" w:cs="Tahoma"/>
          <w:b/>
          <w:bCs/>
          <w:sz w:val="20"/>
        </w:rPr>
        <w:t>, Nguyễn Viết Bình**</w:t>
      </w:r>
    </w:p>
    <w:p w:rsidR="00742A81" w:rsidRPr="00CC2DC1" w:rsidRDefault="00742A81" w:rsidP="00742A81">
      <w:pPr>
        <w:jc w:val="both"/>
        <w:rPr>
          <w:rFonts w:ascii="Calibri" w:eastAsia="TimesNewRomanPS-BoldMT" w:hAnsi="Calibri" w:cs="Tahoma"/>
          <w:b/>
          <w:bCs/>
        </w:rPr>
      </w:pPr>
      <w:r w:rsidRPr="00CC2DC1">
        <w:rPr>
          <w:rFonts w:ascii="Calibri" w:eastAsia="TimesNewRomanPS-BoldMT" w:hAnsi="Calibri" w:cs="Tahoma"/>
          <w:b/>
          <w:bCs/>
        </w:rPr>
        <w:t>TÓM TẮT</w:t>
      </w:r>
      <w:r w:rsidRPr="00CC2DC1">
        <w:rPr>
          <w:rStyle w:val="FootnoteReference"/>
          <w:rFonts w:ascii="Calibri" w:eastAsia="TimesNewRomanPS-BoldMT" w:hAnsi="Calibri" w:cs="Tahoma"/>
          <w:b/>
          <w:bCs/>
          <w:sz w:val="2"/>
          <w:szCs w:val="2"/>
        </w:rPr>
        <w:footnoteReference w:id="1"/>
      </w:r>
    </w:p>
    <w:p w:rsidR="00742A81" w:rsidRPr="009B1CBB" w:rsidRDefault="00742A81" w:rsidP="00742A81">
      <w:pPr>
        <w:ind w:firstLine="450"/>
        <w:jc w:val="both"/>
        <w:rPr>
          <w:rFonts w:ascii="Tahoma" w:hAnsi="Tahoma" w:cs="Tahoma"/>
          <w:sz w:val="20"/>
        </w:rPr>
      </w:pPr>
      <w:r w:rsidRPr="009B1CBB">
        <w:rPr>
          <w:rFonts w:ascii="Tahoma" w:eastAsia="TimesNewRomanPS-BoldMT" w:hAnsi="Tahoma" w:cs="Tahoma"/>
          <w:b/>
          <w:bCs/>
          <w:sz w:val="20"/>
        </w:rPr>
        <w:t>Muc tiêu</w:t>
      </w:r>
      <w:r w:rsidRPr="009B1CBB">
        <w:rPr>
          <w:rFonts w:ascii="Tahoma" w:eastAsia="TimesNewRomanPS-BoldMT" w:hAnsi="Tahoma" w:cs="Tahoma"/>
          <w:bCs/>
          <w:sz w:val="20"/>
        </w:rPr>
        <w:t>:</w:t>
      </w:r>
      <w:r w:rsidRPr="009B1CBB">
        <w:rPr>
          <w:rFonts w:ascii="Tahoma" w:eastAsia="TimesNewRomanPSMT" w:hAnsi="Tahoma" w:cs="Tahoma"/>
          <w:bCs/>
          <w:iCs/>
          <w:sz w:val="20"/>
        </w:rPr>
        <w:t xml:space="preserve"> Nhận</w:t>
      </w:r>
      <w:r w:rsidRPr="009B1CBB">
        <w:rPr>
          <w:rFonts w:ascii="Tahoma" w:eastAsia="TimesNewRomanPSMT" w:hAnsi="Tahoma" w:cs="Tahoma"/>
          <w:b/>
          <w:bCs/>
          <w:i/>
          <w:iCs/>
          <w:sz w:val="20"/>
        </w:rPr>
        <w:t xml:space="preserve"> </w:t>
      </w:r>
      <w:r w:rsidRPr="009B1CBB">
        <w:rPr>
          <w:rFonts w:ascii="Tahoma" w:eastAsia="TimesNewRomanPSMT" w:hAnsi="Tahoma" w:cs="Tahoma"/>
          <w:bCs/>
          <w:iCs/>
          <w:sz w:val="20"/>
        </w:rPr>
        <w:t>xét đặc điểm lâm sàng, cận lâm sàng và mối liên quan giữa chúng của ung thư dương vật tại viện K 2008-2014</w:t>
      </w:r>
      <w:r w:rsidRPr="009B1CBB">
        <w:rPr>
          <w:rFonts w:ascii="Tahoma" w:eastAsia="TimesNewRomanPSMT" w:hAnsi="Tahoma" w:cs="Tahoma"/>
          <w:bCs/>
          <w:i/>
          <w:iCs/>
          <w:sz w:val="20"/>
        </w:rPr>
        <w:t xml:space="preserve">. </w:t>
      </w:r>
      <w:r w:rsidRPr="009B1CBB">
        <w:rPr>
          <w:rFonts w:ascii="Tahoma" w:eastAsia="TimesNewRomanPSMT" w:hAnsi="Tahoma" w:cs="Tahoma"/>
          <w:b/>
          <w:bCs/>
          <w:iCs/>
          <w:sz w:val="20"/>
        </w:rPr>
        <w:t>Đối tượng và phương pháp</w:t>
      </w:r>
      <w:r w:rsidRPr="009B1CBB">
        <w:rPr>
          <w:rFonts w:ascii="Tahoma" w:eastAsia="TimesNewRomanPSMT" w:hAnsi="Tahoma" w:cs="Tahoma"/>
          <w:bCs/>
          <w:iCs/>
          <w:sz w:val="20"/>
        </w:rPr>
        <w:t>:</w:t>
      </w:r>
      <w:r w:rsidRPr="009B1CBB">
        <w:rPr>
          <w:rFonts w:ascii="Tahoma" w:eastAsia="TimesNewRomanPSMT" w:hAnsi="Tahoma" w:cs="Tahoma"/>
          <w:sz w:val="20"/>
        </w:rPr>
        <w:t xml:space="preserve"> Nghiên cứu hồi cứu và tiến cứu mô tả cắt ngang có theo dõi dọc 106 bệnh nhân được chẩn đoán xác định bằng mô bệnh học là ung thư biểu mô dương vật, giai đoạn I, II, III, được điều trị tại bệnh viện K từ 2008-2014.</w:t>
      </w:r>
      <w:r w:rsidRPr="009B1CBB">
        <w:rPr>
          <w:rFonts w:ascii="Tahoma" w:eastAsia="TimesNewRomanPSMT" w:hAnsi="Tahoma" w:cs="Tahoma"/>
          <w:b/>
          <w:sz w:val="20"/>
        </w:rPr>
        <w:t xml:space="preserve"> Kết quả:</w:t>
      </w:r>
      <w:r w:rsidRPr="009B1CBB">
        <w:rPr>
          <w:rFonts w:ascii="Tahoma" w:eastAsia="TimesNewRomanPSMT" w:hAnsi="Tahoma" w:cs="Tahoma"/>
          <w:sz w:val="20"/>
        </w:rPr>
        <w:t xml:space="preserve"> Tuổi trung bình là 51,2 tuổi </w:t>
      </w:r>
      <w:r w:rsidRPr="009B1CBB">
        <w:rPr>
          <w:rFonts w:ascii="Tahoma" w:hAnsi="Tahoma" w:cs="Tahoma"/>
          <w:sz w:val="20"/>
        </w:rPr>
        <w:t>, tuổi</w:t>
      </w:r>
      <w:r w:rsidRPr="009B1CBB">
        <w:rPr>
          <w:rFonts w:ascii="Tahoma" w:eastAsia="TimesNewRomanPSMT" w:hAnsi="Tahoma" w:cs="Tahoma"/>
          <w:sz w:val="20"/>
        </w:rPr>
        <w:t xml:space="preserve"> </w:t>
      </w:r>
      <w:r w:rsidRPr="009B1CBB">
        <w:rPr>
          <w:rFonts w:ascii="Tahoma" w:hAnsi="Tahoma" w:cs="Tahoma"/>
          <w:sz w:val="20"/>
        </w:rPr>
        <w:t>m</w:t>
      </w:r>
      <w:r w:rsidRPr="009B1CBB">
        <w:rPr>
          <w:rFonts w:ascii="Tahoma" w:eastAsia="TimesNewRomanPSMT" w:hAnsi="Tahoma" w:cs="Tahoma"/>
          <w:sz w:val="20"/>
        </w:rPr>
        <w:t>ắ</w:t>
      </w:r>
      <w:r w:rsidRPr="009B1CBB">
        <w:rPr>
          <w:rFonts w:ascii="Tahoma" w:hAnsi="Tahoma" w:cs="Tahoma"/>
          <w:sz w:val="20"/>
        </w:rPr>
        <w:t>c b</w:t>
      </w:r>
      <w:r w:rsidRPr="009B1CBB">
        <w:rPr>
          <w:rFonts w:ascii="Tahoma" w:eastAsia="TimesNewRomanPSMT" w:hAnsi="Tahoma" w:cs="Tahoma"/>
          <w:sz w:val="20"/>
        </w:rPr>
        <w:t>ệ</w:t>
      </w:r>
      <w:r w:rsidRPr="009B1CBB">
        <w:rPr>
          <w:rFonts w:ascii="Tahoma" w:hAnsi="Tahoma" w:cs="Tahoma"/>
          <w:sz w:val="20"/>
        </w:rPr>
        <w:t xml:space="preserve">nh </w:t>
      </w:r>
      <w:r w:rsidRPr="009B1CBB">
        <w:rPr>
          <w:rFonts w:ascii="Tahoma" w:eastAsia="TimesNewRomanPSMT" w:hAnsi="Tahoma" w:cs="Tahoma"/>
          <w:sz w:val="20"/>
        </w:rPr>
        <w:t>hay gặp là 40-70 tuổi, chiếm 68,9%</w:t>
      </w:r>
      <w:r w:rsidRPr="009B1CBB">
        <w:rPr>
          <w:rFonts w:ascii="Tahoma" w:hAnsi="Tahoma" w:cs="Tahoma"/>
          <w:sz w:val="20"/>
        </w:rPr>
        <w:t xml:space="preserve">, </w:t>
      </w:r>
      <w:r w:rsidRPr="009B1CBB">
        <w:rPr>
          <w:rFonts w:ascii="Tahoma" w:eastAsia="TimesNewRomanPSMT" w:hAnsi="Tahoma" w:cs="Tahoma"/>
          <w:sz w:val="20"/>
        </w:rPr>
        <w:t>có thời gian mắc bệnh trên 6 tháng chiếm 72,3%.</w:t>
      </w:r>
      <w:r w:rsidRPr="009B1CBB">
        <w:rPr>
          <w:rFonts w:ascii="Tahoma" w:hAnsi="Tahoma" w:cs="Tahoma"/>
          <w:sz w:val="20"/>
        </w:rPr>
        <w:t xml:space="preserve"> Ti</w:t>
      </w:r>
      <w:r w:rsidRPr="009B1CBB">
        <w:rPr>
          <w:rFonts w:ascii="Tahoma" w:eastAsia="TimesNewRomanPSMT" w:hAnsi="Tahoma" w:cs="Tahoma"/>
          <w:sz w:val="20"/>
        </w:rPr>
        <w:t>ề</w:t>
      </w:r>
      <w:r w:rsidRPr="009B1CBB">
        <w:rPr>
          <w:rFonts w:ascii="Tahoma" w:hAnsi="Tahoma" w:cs="Tahoma"/>
          <w:sz w:val="20"/>
        </w:rPr>
        <w:t>n s</w:t>
      </w:r>
      <w:r w:rsidRPr="009B1CBB">
        <w:rPr>
          <w:rFonts w:ascii="Tahoma" w:eastAsia="TimesNewRomanPSMT" w:hAnsi="Tahoma" w:cs="Tahoma"/>
          <w:sz w:val="20"/>
        </w:rPr>
        <w:t xml:space="preserve">ử </w:t>
      </w:r>
      <w:r w:rsidRPr="009B1CBB">
        <w:rPr>
          <w:rFonts w:ascii="Tahoma" w:hAnsi="Tahoma" w:cs="Tahoma"/>
          <w:sz w:val="20"/>
        </w:rPr>
        <w:t>h</w:t>
      </w:r>
      <w:r w:rsidRPr="009B1CBB">
        <w:rPr>
          <w:rFonts w:ascii="Tahoma" w:eastAsia="TimesNewRomanPSMT" w:hAnsi="Tahoma" w:cs="Tahoma"/>
          <w:sz w:val="20"/>
        </w:rPr>
        <w:t>ẹp bao quy đầu chiếm tỷ lệ cao (89,6%)</w:t>
      </w:r>
      <w:r w:rsidRPr="009B1CBB">
        <w:rPr>
          <w:rFonts w:ascii="Tahoma" w:hAnsi="Tahoma" w:cs="Tahoma"/>
          <w:sz w:val="20"/>
        </w:rPr>
        <w:t>. Mức độ xâm lấn khối u ở T2 và T3 chiếm 38,7% và 52,8%, tương ứng. Mô bệnh học của ung thư dương vật là ung thư biểu mô vảy chiếm 100%, độ mô học thấp (G 1,2) chi</w:t>
      </w:r>
      <w:r w:rsidRPr="009B1CBB">
        <w:rPr>
          <w:rFonts w:ascii="Tahoma" w:eastAsia="TimesNewRomanPSMT" w:hAnsi="Tahoma" w:cs="Tahoma"/>
          <w:sz w:val="20"/>
        </w:rPr>
        <w:t>ế</w:t>
      </w:r>
      <w:r w:rsidRPr="009B1CBB">
        <w:rPr>
          <w:rFonts w:ascii="Tahoma" w:hAnsi="Tahoma" w:cs="Tahoma"/>
          <w:sz w:val="20"/>
        </w:rPr>
        <w:t>m tỷ lệ cao 84%, độ mô học cao (G3,4) chiếm tỷ lệ thấp 16%. Tỷ lệ</w:t>
      </w:r>
      <w:r w:rsidRPr="009B1CBB">
        <w:rPr>
          <w:rFonts w:ascii="Tahoma" w:eastAsia="TimesNewRomanPSMT" w:hAnsi="Tahoma" w:cs="Tahoma"/>
          <w:sz w:val="20"/>
        </w:rPr>
        <w:t xml:space="preserve"> di căn hạ</w:t>
      </w:r>
      <w:r w:rsidRPr="009B1CBB">
        <w:rPr>
          <w:rFonts w:ascii="Tahoma" w:hAnsi="Tahoma" w:cs="Tahoma"/>
          <w:sz w:val="20"/>
        </w:rPr>
        <w:t>ch vùng chiếm 39,6%,</w:t>
      </w:r>
      <w:r w:rsidRPr="009B1CBB">
        <w:rPr>
          <w:rFonts w:ascii="Tahoma" w:eastAsia="TimesNewRomanPSMT" w:hAnsi="Tahoma" w:cs="Tahoma"/>
          <w:sz w:val="20"/>
        </w:rPr>
        <w:t xml:space="preserve"> tỷ lệ chưa di căn hạ</w:t>
      </w:r>
      <w:r w:rsidRPr="009B1CBB">
        <w:rPr>
          <w:rFonts w:ascii="Tahoma" w:hAnsi="Tahoma" w:cs="Tahoma"/>
          <w:sz w:val="20"/>
        </w:rPr>
        <w:t xml:space="preserve">ch vùng chiếm 60,4%. Giai đoạn </w:t>
      </w:r>
      <w:r w:rsidRPr="009B1CBB">
        <w:rPr>
          <w:rFonts w:ascii="Tahoma" w:eastAsia="TimesNewRomanPSMT" w:hAnsi="Tahoma" w:cs="Tahoma"/>
          <w:bCs/>
          <w:sz w:val="20"/>
        </w:rPr>
        <w:t>I, II, III chiếm tỷ lệ tương ứng là 8,5%, 40,6% và 50,9%.</w:t>
      </w:r>
      <w:r w:rsidRPr="009B1CBB">
        <w:rPr>
          <w:rFonts w:ascii="Tahoma" w:hAnsi="Tahoma" w:cs="Tahoma"/>
          <w:sz w:val="20"/>
        </w:rPr>
        <w:t xml:space="preserve"> </w:t>
      </w:r>
      <w:r w:rsidRPr="009B1CBB">
        <w:rPr>
          <w:rFonts w:ascii="Tahoma" w:eastAsia="TimesNewRomanPSMT" w:hAnsi="Tahoma" w:cs="Tahoma"/>
          <w:bCs/>
          <w:sz w:val="20"/>
        </w:rPr>
        <w:t>Mức độ xâm lấn</w:t>
      </w:r>
      <w:r w:rsidRPr="009B1CBB">
        <w:rPr>
          <w:rFonts w:ascii="Tahoma" w:eastAsia="TimesNewRomanPSMT" w:hAnsi="Tahoma" w:cs="Tahoma"/>
          <w:sz w:val="20"/>
        </w:rPr>
        <w:t xml:space="preserve"> khối u càng rộng thì thăm khám hạch bẹn trên lâm sàng càng rõ và </w:t>
      </w:r>
      <w:r w:rsidRPr="009B1CBB">
        <w:rPr>
          <w:rFonts w:ascii="Tahoma" w:hAnsi="Tahoma" w:cs="Tahoma"/>
          <w:bCs/>
          <w:iCs/>
          <w:sz w:val="20"/>
        </w:rPr>
        <w:t>cho di căn hạch vùng qua mô bệnh học càng cao. Độ mô học của khối u thấp thì cho tỷ lệ di căn hạch vùng ít và ngược lại độ mô học cao thì cho tỷ lệ di căn hạch vùng nhiều.</w:t>
      </w:r>
    </w:p>
    <w:p w:rsidR="00742A81" w:rsidRPr="009B1CBB" w:rsidRDefault="00742A81" w:rsidP="00742A81">
      <w:pPr>
        <w:ind w:firstLine="450"/>
        <w:jc w:val="both"/>
        <w:rPr>
          <w:rFonts w:ascii="Tahoma" w:hAnsi="Tahoma" w:cs="Tahoma"/>
          <w:bCs/>
          <w:iCs/>
          <w:sz w:val="20"/>
        </w:rPr>
      </w:pPr>
      <w:r w:rsidRPr="001B1778">
        <w:rPr>
          <w:rFonts w:ascii="Tahoma" w:hAnsi="Tahoma" w:cs="Tahoma"/>
          <w:b/>
          <w:bCs/>
          <w:i/>
          <w:iCs/>
          <w:sz w:val="20"/>
        </w:rPr>
        <w:t>Từ khoá:</w:t>
      </w:r>
      <w:r w:rsidRPr="009B1CBB">
        <w:rPr>
          <w:rFonts w:ascii="Tahoma" w:hAnsi="Tahoma" w:cs="Tahoma"/>
          <w:bCs/>
          <w:iCs/>
          <w:sz w:val="20"/>
        </w:rPr>
        <w:t xml:space="preserve"> ung thư dương vật</w:t>
      </w:r>
    </w:p>
    <w:p w:rsidR="00742A81" w:rsidRDefault="00742A81" w:rsidP="00742A81">
      <w:pPr>
        <w:ind w:firstLine="450"/>
        <w:jc w:val="both"/>
        <w:rPr>
          <w:rFonts w:ascii="Tahoma" w:hAnsi="Tahoma" w:cs="Tahoma"/>
          <w:b/>
          <w:sz w:val="20"/>
          <w:lang w:val="vi-VN"/>
        </w:rPr>
      </w:pPr>
    </w:p>
    <w:p w:rsidR="00742A81" w:rsidRPr="00CC2DC1" w:rsidRDefault="00742A81" w:rsidP="00742A81">
      <w:pPr>
        <w:ind w:firstLine="450"/>
        <w:jc w:val="both"/>
        <w:rPr>
          <w:rFonts w:ascii="Calibri" w:hAnsi="Calibri" w:cs="Tahoma"/>
          <w:b/>
        </w:rPr>
      </w:pPr>
      <w:r w:rsidRPr="00CC2DC1">
        <w:rPr>
          <w:rFonts w:ascii="Calibri" w:hAnsi="Calibri" w:cs="Tahoma"/>
          <w:b/>
        </w:rPr>
        <w:t>SUMMARY</w:t>
      </w:r>
    </w:p>
    <w:p w:rsidR="00742A81" w:rsidRPr="009B1CBB" w:rsidRDefault="00742A81" w:rsidP="00742A81">
      <w:pPr>
        <w:ind w:firstLine="450"/>
        <w:jc w:val="center"/>
        <w:rPr>
          <w:rFonts w:ascii="Tahoma" w:hAnsi="Tahoma" w:cs="Tahoma"/>
          <w:b/>
          <w:sz w:val="20"/>
        </w:rPr>
      </w:pPr>
      <w:r w:rsidRPr="009B1CBB">
        <w:rPr>
          <w:rFonts w:ascii="Tahoma" w:hAnsi="Tahoma" w:cs="Tahoma"/>
          <w:b/>
          <w:sz w:val="20"/>
        </w:rPr>
        <w:t>CLINICAL, SUBCLINICAL CHARACTERISTICS AND ITS RELATIONSHIP</w:t>
      </w:r>
    </w:p>
    <w:p w:rsidR="00742A81" w:rsidRPr="009B1CBB" w:rsidRDefault="00742A81" w:rsidP="00742A81">
      <w:pPr>
        <w:ind w:firstLine="450"/>
        <w:jc w:val="center"/>
        <w:rPr>
          <w:rFonts w:ascii="Tahoma" w:hAnsi="Tahoma" w:cs="Tahoma"/>
          <w:b/>
          <w:sz w:val="20"/>
        </w:rPr>
      </w:pPr>
      <w:r w:rsidRPr="009B1CBB">
        <w:rPr>
          <w:rFonts w:ascii="Tahoma" w:hAnsi="Tahoma" w:cs="Tahoma"/>
          <w:b/>
          <w:sz w:val="20"/>
        </w:rPr>
        <w:t>OF PENILE CANCER AT K HOSPITAL 2008-2014</w:t>
      </w:r>
    </w:p>
    <w:p w:rsidR="00742A81" w:rsidRPr="009B1CBB" w:rsidRDefault="00742A81" w:rsidP="00742A81">
      <w:pPr>
        <w:ind w:firstLine="450"/>
        <w:jc w:val="both"/>
        <w:rPr>
          <w:rFonts w:ascii="Tahoma" w:hAnsi="Tahoma" w:cs="Tahoma"/>
          <w:sz w:val="20"/>
        </w:rPr>
      </w:pPr>
      <w:r w:rsidRPr="009B1CBB">
        <w:rPr>
          <w:rFonts w:ascii="Tahoma" w:hAnsi="Tahoma" w:cs="Tahoma"/>
          <w:b/>
          <w:sz w:val="20"/>
          <w:lang w:eastAsia="vi-VN"/>
        </w:rPr>
        <w:t>Objectives:</w:t>
      </w:r>
      <w:r w:rsidRPr="009B1CBB">
        <w:rPr>
          <w:rFonts w:ascii="Tahoma" w:hAnsi="Tahoma" w:cs="Tahoma"/>
          <w:sz w:val="20"/>
          <w:lang w:eastAsia="vi-VN"/>
        </w:rPr>
        <w:t> Study some clinical -subclinical and its relationship of penile cancer at K hospital 2008-2014. </w:t>
      </w:r>
      <w:r w:rsidRPr="009B1CBB">
        <w:rPr>
          <w:rFonts w:ascii="Tahoma" w:hAnsi="Tahoma" w:cs="Tahoma"/>
          <w:b/>
          <w:sz w:val="20"/>
          <w:lang w:eastAsia="vi-VN"/>
        </w:rPr>
        <w:t>Subjects and methods:</w:t>
      </w:r>
      <w:r w:rsidRPr="009B1CBB">
        <w:rPr>
          <w:rFonts w:ascii="Tahoma" w:hAnsi="Tahoma" w:cs="Tahoma"/>
          <w:sz w:val="20"/>
          <w:lang w:eastAsia="vi-VN"/>
        </w:rPr>
        <w:t xml:space="preserve"> A retrospective and prospective study on 106 patients </w:t>
      </w:r>
      <w:r w:rsidRPr="009B1CBB">
        <w:rPr>
          <w:rFonts w:ascii="Tahoma" w:hAnsi="Tahoma" w:cs="Tahoma"/>
          <w:sz w:val="20"/>
        </w:rPr>
        <w:t>were diagnosed by histopathology and were identified as</w:t>
      </w:r>
      <w:r w:rsidRPr="009B1CBB">
        <w:rPr>
          <w:rFonts w:ascii="Tahoma" w:hAnsi="Tahoma" w:cs="Tahoma"/>
          <w:sz w:val="20"/>
          <w:lang w:eastAsia="vi-VN"/>
        </w:rPr>
        <w:t> penile cancer stage I,II, III were treated at K hospital from 2008-2014. </w:t>
      </w:r>
      <w:r w:rsidRPr="009B1CBB">
        <w:rPr>
          <w:rFonts w:ascii="Tahoma" w:hAnsi="Tahoma" w:cs="Tahoma"/>
          <w:b/>
          <w:sz w:val="20"/>
          <w:lang w:eastAsia="vi-VN"/>
        </w:rPr>
        <w:t>Results:</w:t>
      </w:r>
      <w:r w:rsidRPr="009B1CBB">
        <w:rPr>
          <w:rFonts w:ascii="Tahoma" w:hAnsi="Tahoma" w:cs="Tahoma"/>
          <w:sz w:val="20"/>
          <w:lang w:eastAsia="vi-VN"/>
        </w:rPr>
        <w:t> median age 51.2 years, disease common in people ageing from 40 to 70 years old (68.9%), duration of illness over 6 months (72.3%). Patients with phimosis history were 89,6%</w:t>
      </w:r>
      <w:r w:rsidRPr="009B1CBB">
        <w:rPr>
          <w:rFonts w:ascii="Tahoma" w:hAnsi="Tahoma" w:cs="Tahoma"/>
          <w:sz w:val="20"/>
        </w:rPr>
        <w:t xml:space="preserve">. The </w:t>
      </w:r>
      <w:r w:rsidRPr="009B1CBB">
        <w:rPr>
          <w:rFonts w:ascii="Tahoma" w:hAnsi="Tahoma" w:cs="Tahoma"/>
          <w:sz w:val="20"/>
          <w:shd w:val="clear" w:color="auto" w:fill="FFFFFF"/>
        </w:rPr>
        <w:t xml:space="preserve">invasiveness of </w:t>
      </w:r>
      <w:r w:rsidRPr="009B1CBB">
        <w:rPr>
          <w:rStyle w:val="apple-converted-space"/>
          <w:rFonts w:ascii="Tahoma" w:hAnsi="Tahoma" w:cs="Tahoma"/>
          <w:sz w:val="20"/>
          <w:shd w:val="clear" w:color="auto" w:fill="FFFFFF"/>
        </w:rPr>
        <w:t> </w:t>
      </w:r>
      <w:r w:rsidRPr="009B1CBB">
        <w:rPr>
          <w:rFonts w:ascii="Tahoma" w:hAnsi="Tahoma" w:cs="Tahoma"/>
          <w:sz w:val="20"/>
          <w:shd w:val="clear" w:color="auto" w:fill="FFFFFF"/>
        </w:rPr>
        <w:t>tumors in</w:t>
      </w:r>
      <w:r w:rsidRPr="009B1CBB">
        <w:rPr>
          <w:rStyle w:val="apple-converted-space"/>
          <w:rFonts w:ascii="Tahoma" w:hAnsi="Tahoma" w:cs="Tahoma"/>
          <w:sz w:val="20"/>
          <w:shd w:val="clear" w:color="auto" w:fill="FFFFFF"/>
        </w:rPr>
        <w:t> </w:t>
      </w:r>
      <w:r w:rsidRPr="009B1CBB">
        <w:rPr>
          <w:rFonts w:ascii="Tahoma" w:hAnsi="Tahoma" w:cs="Tahoma"/>
          <w:sz w:val="20"/>
          <w:shd w:val="clear" w:color="auto" w:fill="FFFFFF"/>
        </w:rPr>
        <w:t>T2</w:t>
      </w:r>
      <w:r w:rsidRPr="009B1CBB">
        <w:rPr>
          <w:rStyle w:val="apple-converted-space"/>
          <w:rFonts w:ascii="Tahoma" w:hAnsi="Tahoma" w:cs="Tahoma"/>
          <w:sz w:val="20"/>
          <w:shd w:val="clear" w:color="auto" w:fill="FFFFFF"/>
        </w:rPr>
        <w:t> </w:t>
      </w:r>
      <w:r w:rsidRPr="009B1CBB">
        <w:rPr>
          <w:rFonts w:ascii="Tahoma" w:hAnsi="Tahoma" w:cs="Tahoma"/>
          <w:sz w:val="20"/>
          <w:shd w:val="clear" w:color="auto" w:fill="FFFFFF"/>
        </w:rPr>
        <w:t>and</w:t>
      </w:r>
      <w:r w:rsidRPr="009B1CBB">
        <w:rPr>
          <w:rStyle w:val="apple-converted-space"/>
          <w:rFonts w:ascii="Tahoma" w:hAnsi="Tahoma" w:cs="Tahoma"/>
          <w:sz w:val="20"/>
          <w:shd w:val="clear" w:color="auto" w:fill="FFFFFF"/>
        </w:rPr>
        <w:t> </w:t>
      </w:r>
      <w:r w:rsidRPr="009B1CBB">
        <w:rPr>
          <w:rFonts w:ascii="Tahoma" w:hAnsi="Tahoma" w:cs="Tahoma"/>
          <w:sz w:val="20"/>
          <w:shd w:val="clear" w:color="auto" w:fill="FFFFFF"/>
        </w:rPr>
        <w:t>T3</w:t>
      </w:r>
      <w:r w:rsidRPr="009B1CBB">
        <w:rPr>
          <w:rStyle w:val="apple-converted-space"/>
          <w:rFonts w:ascii="Tahoma" w:hAnsi="Tahoma" w:cs="Tahoma"/>
          <w:sz w:val="20"/>
          <w:shd w:val="clear" w:color="auto" w:fill="FFFFFF"/>
        </w:rPr>
        <w:t> </w:t>
      </w:r>
      <w:r w:rsidRPr="009B1CBB">
        <w:rPr>
          <w:rFonts w:ascii="Tahoma" w:hAnsi="Tahoma" w:cs="Tahoma"/>
          <w:sz w:val="20"/>
          <w:shd w:val="clear" w:color="auto" w:fill="FFFFFF"/>
        </w:rPr>
        <w:t>is38.7%</w:t>
      </w:r>
      <w:r w:rsidRPr="009B1CBB">
        <w:rPr>
          <w:rStyle w:val="apple-converted-space"/>
          <w:rFonts w:ascii="Tahoma" w:hAnsi="Tahoma" w:cs="Tahoma"/>
          <w:sz w:val="20"/>
          <w:shd w:val="clear" w:color="auto" w:fill="FFFFFF"/>
        </w:rPr>
        <w:t> </w:t>
      </w:r>
      <w:r w:rsidRPr="009B1CBB">
        <w:rPr>
          <w:rFonts w:ascii="Tahoma" w:hAnsi="Tahoma" w:cs="Tahoma"/>
          <w:sz w:val="20"/>
          <w:shd w:val="clear" w:color="auto" w:fill="FFFFFF"/>
        </w:rPr>
        <w:t>and</w:t>
      </w:r>
      <w:r w:rsidRPr="009B1CBB">
        <w:rPr>
          <w:rStyle w:val="apple-converted-space"/>
          <w:rFonts w:ascii="Tahoma" w:hAnsi="Tahoma" w:cs="Tahoma"/>
          <w:sz w:val="20"/>
          <w:shd w:val="clear" w:color="auto" w:fill="FFFFFF"/>
        </w:rPr>
        <w:t> </w:t>
      </w:r>
      <w:r w:rsidRPr="009B1CBB">
        <w:rPr>
          <w:rFonts w:ascii="Tahoma" w:hAnsi="Tahoma" w:cs="Tahoma"/>
          <w:sz w:val="20"/>
          <w:shd w:val="clear" w:color="auto" w:fill="FFFFFF"/>
        </w:rPr>
        <w:t xml:space="preserve">52.8%,respectively. </w:t>
      </w:r>
      <w:r w:rsidRPr="009B1CBB">
        <w:rPr>
          <w:rFonts w:ascii="Tahoma" w:hAnsi="Tahoma" w:cs="Tahoma"/>
          <w:sz w:val="20"/>
          <w:lang w:eastAsia="vi-VN"/>
        </w:rPr>
        <w:t xml:space="preserve">Histopathology of penile cancer is squamous cancer (100%). The low grade G1,2 (84%), high grade G3,4 (16%), lymph node metastases (39.6%), stage I, II and III (8.5%, 40.6% and 50.9%, </w:t>
      </w:r>
      <w:r w:rsidRPr="009B1CBB">
        <w:rPr>
          <w:rFonts w:ascii="Tahoma" w:hAnsi="Tahoma" w:cs="Tahoma"/>
          <w:sz w:val="20"/>
        </w:rPr>
        <w:t>respectively</w:t>
      </w:r>
      <w:r w:rsidRPr="009B1CBB">
        <w:rPr>
          <w:rFonts w:ascii="Tahoma" w:hAnsi="Tahoma" w:cs="Tahoma"/>
          <w:sz w:val="20"/>
          <w:lang w:eastAsia="vi-VN"/>
        </w:rPr>
        <w:t>).</w:t>
      </w:r>
      <w:r w:rsidRPr="009B1CBB">
        <w:rPr>
          <w:rFonts w:ascii="Tahoma" w:hAnsi="Tahoma" w:cs="Tahoma"/>
          <w:sz w:val="20"/>
        </w:rPr>
        <w:t xml:space="preserve"> </w:t>
      </w:r>
      <w:r w:rsidRPr="009B1CBB">
        <w:rPr>
          <w:rFonts w:ascii="Tahoma" w:hAnsi="Tahoma" w:cs="Tahoma"/>
          <w:sz w:val="20"/>
          <w:lang w:eastAsia="vi-VN"/>
        </w:rPr>
        <w:t>The wider invasiveness of tumors is, the more frequent clinical consultation and the higher lymph node metastases are by histopathology. The lower grade is, the lower lymph node metastases are.</w:t>
      </w:r>
    </w:p>
    <w:p w:rsidR="007C6360" w:rsidRPr="00742A81" w:rsidRDefault="00742A81" w:rsidP="00742A81">
      <w:r w:rsidRPr="001B1778">
        <w:rPr>
          <w:rFonts w:ascii="Tahoma" w:hAnsi="Tahoma" w:cs="Tahoma"/>
          <w:b/>
          <w:bCs/>
          <w:i/>
          <w:iCs/>
          <w:sz w:val="20"/>
        </w:rPr>
        <w:t>Keywords:</w:t>
      </w:r>
      <w:r w:rsidRPr="009B1CBB">
        <w:rPr>
          <w:rFonts w:ascii="Tahoma" w:hAnsi="Tahoma" w:cs="Tahoma"/>
          <w:b/>
          <w:bCs/>
          <w:iCs/>
          <w:sz w:val="20"/>
        </w:rPr>
        <w:t xml:space="preserve"> </w:t>
      </w:r>
      <w:r w:rsidRPr="009B1CBB">
        <w:rPr>
          <w:rFonts w:ascii="Tahoma" w:hAnsi="Tahoma" w:cs="Tahoma"/>
          <w:bCs/>
          <w:iCs/>
          <w:sz w:val="20"/>
        </w:rPr>
        <w:t>penile cancer .</w:t>
      </w:r>
    </w:p>
    <w:sectPr w:rsidR="007C6360" w:rsidRPr="00742A8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386" w:rsidRDefault="00506386" w:rsidP="00742A81">
      <w:r>
        <w:separator/>
      </w:r>
    </w:p>
  </w:endnote>
  <w:endnote w:type="continuationSeparator" w:id="0">
    <w:p w:rsidR="00506386" w:rsidRDefault="00506386" w:rsidP="0074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386" w:rsidRDefault="00506386" w:rsidP="00742A81">
      <w:r>
        <w:separator/>
      </w:r>
    </w:p>
  </w:footnote>
  <w:footnote w:type="continuationSeparator" w:id="0">
    <w:p w:rsidR="00506386" w:rsidRDefault="00506386" w:rsidP="00742A81">
      <w:r>
        <w:continuationSeparator/>
      </w:r>
    </w:p>
  </w:footnote>
  <w:footnote w:id="1">
    <w:p w:rsidR="00742A81" w:rsidRPr="00447AA4" w:rsidRDefault="00742A81" w:rsidP="00742A81">
      <w:pPr>
        <w:jc w:val="both"/>
        <w:rPr>
          <w:rFonts w:ascii="Tahoma" w:eastAsia="TimesNewRomanPSMT" w:hAnsi="Tahoma" w:cs="Tahoma"/>
          <w:sz w:val="18"/>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38"/>
    <w:rsid w:val="00506386"/>
    <w:rsid w:val="00742A81"/>
    <w:rsid w:val="007C6360"/>
    <w:rsid w:val="00DF293E"/>
    <w:rsid w:val="00E94B38"/>
    <w:rsid w:val="00FB4EC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00EC6-2AAF-455C-862E-2C871385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81"/>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742A81"/>
    <w:rPr>
      <w:vertAlign w:val="superscript"/>
    </w:rPr>
  </w:style>
  <w:style w:type="character" w:customStyle="1" w:styleId="apple-converted-space">
    <w:name w:val="apple-converted-space"/>
    <w:basedOn w:val="DefaultParagraphFont"/>
    <w:rsid w:val="00742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2015-06-04T08:34:00Z</dcterms:created>
  <dcterms:modified xsi:type="dcterms:W3CDTF">2015-06-05T07:46:00Z</dcterms:modified>
</cp:coreProperties>
</file>