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77" w:type="pct"/>
        <w:jc w:val="center"/>
        <w:tblLook w:val="01E0" w:firstRow="1" w:lastRow="1" w:firstColumn="1" w:lastColumn="1" w:noHBand="0" w:noVBand="0"/>
      </w:tblPr>
      <w:tblGrid>
        <w:gridCol w:w="8082"/>
      </w:tblGrid>
      <w:tr w:rsidR="002A36A5" w:rsidRPr="003B587C" w:rsidTr="001C7201">
        <w:trPr>
          <w:trHeight w:val="60"/>
          <w:jc w:val="center"/>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4042"/>
            </w:tblGrid>
            <w:tr w:rsidR="002A36A5" w:rsidRPr="003B587C" w:rsidTr="002A36A5">
              <w:trPr>
                <w:trHeight w:val="343"/>
              </w:trPr>
              <w:tc>
                <w:tcPr>
                  <w:tcW w:w="2429" w:type="pct"/>
                  <w:shd w:val="clear" w:color="auto" w:fill="EEECE1"/>
                  <w:vAlign w:val="center"/>
                </w:tcPr>
                <w:p w:rsidR="002A36A5" w:rsidRPr="00CE5BDD" w:rsidRDefault="002A36A5" w:rsidP="001C7201">
                  <w:pPr>
                    <w:spacing w:line="260" w:lineRule="exact"/>
                    <w:contextualSpacing/>
                    <w:jc w:val="center"/>
                    <w:rPr>
                      <w:rFonts w:ascii=".VnVogueH" w:hAnsi=".VnVogueH" w:cs=".VnArial"/>
                      <w:szCs w:val="28"/>
                    </w:rPr>
                  </w:pPr>
                  <w:r w:rsidRPr="00CE5BDD">
                    <w:rPr>
                      <w:b/>
                      <w:bCs/>
                      <w:lang w:val="sv-SE"/>
                    </w:rPr>
                    <w:br w:type="page"/>
                  </w:r>
                  <w:r w:rsidRPr="00CE5BDD">
                    <w:rPr>
                      <w:rFonts w:ascii=".VnVogueH" w:hAnsi=".VnVogueH" w:cs=".VnArial"/>
                      <w:szCs w:val="28"/>
                    </w:rPr>
                    <w:t>Tæng quan</w:t>
                  </w:r>
                </w:p>
              </w:tc>
              <w:tc>
                <w:tcPr>
                  <w:tcW w:w="2571" w:type="pct"/>
                  <w:tcBorders>
                    <w:top w:val="nil"/>
                    <w:bottom w:val="nil"/>
                    <w:right w:val="nil"/>
                  </w:tcBorders>
                  <w:vAlign w:val="center"/>
                </w:tcPr>
                <w:p w:rsidR="002A36A5" w:rsidRPr="003B587C" w:rsidRDefault="002A36A5" w:rsidP="001C7201">
                  <w:pPr>
                    <w:spacing w:line="260" w:lineRule="exact"/>
                    <w:contextualSpacing/>
                    <w:jc w:val="center"/>
                    <w:rPr>
                      <w:rFonts w:ascii="Arial" w:hAnsi="Arial"/>
                      <w:b/>
                    </w:rPr>
                  </w:pPr>
                </w:p>
              </w:tc>
            </w:tr>
          </w:tbl>
          <w:p w:rsidR="002A36A5" w:rsidRPr="003B587C" w:rsidRDefault="002A36A5" w:rsidP="001C7201">
            <w:pPr>
              <w:spacing w:line="260" w:lineRule="exact"/>
              <w:contextualSpacing/>
              <w:jc w:val="center"/>
            </w:pPr>
          </w:p>
        </w:tc>
      </w:tr>
    </w:tbl>
    <w:p w:rsidR="002A36A5" w:rsidRDefault="002A36A5" w:rsidP="002A36A5">
      <w:pPr>
        <w:contextualSpacing/>
        <w:jc w:val="center"/>
        <w:rPr>
          <w:rFonts w:ascii="Cambria" w:hAnsi="Cambria"/>
          <w:b/>
          <w:bCs/>
          <w:sz w:val="28"/>
        </w:rPr>
      </w:pPr>
    </w:p>
    <w:p w:rsidR="002A36A5" w:rsidRPr="00F72A4A" w:rsidRDefault="002A36A5" w:rsidP="002A36A5">
      <w:pPr>
        <w:contextualSpacing/>
        <w:jc w:val="center"/>
        <w:rPr>
          <w:rFonts w:ascii="Cambria" w:hAnsi="Cambria"/>
          <w:b/>
          <w:bCs/>
          <w:sz w:val="28"/>
        </w:rPr>
      </w:pPr>
      <w:r w:rsidRPr="00F72A4A">
        <w:rPr>
          <w:rFonts w:ascii="Cambria" w:hAnsi="Cambria"/>
          <w:b/>
          <w:bCs/>
          <w:sz w:val="28"/>
        </w:rPr>
        <w:t>LỊCH SỬ MỔ KHÁM NGHIỆM TỬ THI</w:t>
      </w:r>
    </w:p>
    <w:p w:rsidR="002A36A5" w:rsidRPr="00F72A4A" w:rsidRDefault="002A36A5" w:rsidP="002A36A5">
      <w:pPr>
        <w:contextualSpacing/>
        <w:jc w:val="center"/>
        <w:rPr>
          <w:rFonts w:ascii="Cambria" w:hAnsi="Cambria"/>
          <w:b/>
          <w:bCs/>
          <w:sz w:val="28"/>
        </w:rPr>
      </w:pPr>
      <w:r w:rsidRPr="00F72A4A">
        <w:rPr>
          <w:rFonts w:ascii="Cambria" w:hAnsi="Cambria"/>
          <w:b/>
          <w:bCs/>
          <w:sz w:val="28"/>
        </w:rPr>
        <w:t>VỚI MỤC ĐÍCH NGHIÊN CỨU Y HỌC</w:t>
      </w:r>
    </w:p>
    <w:p w:rsidR="002A36A5" w:rsidRPr="00DF5709" w:rsidRDefault="002A36A5" w:rsidP="002A36A5">
      <w:pPr>
        <w:contextualSpacing/>
        <w:jc w:val="both"/>
        <w:rPr>
          <w:b/>
          <w:bCs/>
        </w:rPr>
      </w:pPr>
    </w:p>
    <w:p w:rsidR="002A36A5" w:rsidRPr="002A36A5" w:rsidRDefault="002A36A5" w:rsidP="002A36A5">
      <w:pPr>
        <w:contextualSpacing/>
        <w:jc w:val="right"/>
        <w:rPr>
          <w:rFonts w:ascii="Times New Roman" w:hAnsi="Times New Roman"/>
          <w:b/>
          <w:bCs/>
          <w:i/>
          <w:sz w:val="24"/>
        </w:rPr>
      </w:pPr>
      <w:r w:rsidRPr="0077137F">
        <w:rPr>
          <w:rFonts w:ascii="Times New Roman" w:hAnsi="Times New Roman"/>
          <w:b/>
          <w:bCs/>
          <w:sz w:val="24"/>
        </w:rPr>
        <w:t xml:space="preserve">                                                     </w:t>
      </w:r>
      <w:r>
        <w:rPr>
          <w:rFonts w:ascii="Times New Roman" w:hAnsi="Times New Roman"/>
          <w:b/>
          <w:bCs/>
          <w:sz w:val="24"/>
        </w:rPr>
        <w:t xml:space="preserve">                    TS. </w:t>
      </w:r>
      <w:r w:rsidRPr="002A36A5">
        <w:rPr>
          <w:rFonts w:ascii="Times New Roman" w:hAnsi="Times New Roman"/>
          <w:b/>
          <w:bCs/>
          <w:i/>
          <w:sz w:val="24"/>
        </w:rPr>
        <w:t>Lê Gia Vinh</w:t>
      </w:r>
    </w:p>
    <w:p w:rsidR="002A36A5" w:rsidRPr="002A36A5" w:rsidRDefault="002A36A5" w:rsidP="002A36A5">
      <w:pPr>
        <w:contextualSpacing/>
        <w:jc w:val="right"/>
        <w:rPr>
          <w:b/>
          <w:i/>
          <w:sz w:val="18"/>
        </w:rPr>
      </w:pPr>
      <w:r w:rsidRPr="002A36A5">
        <w:rPr>
          <w:b/>
          <w:i/>
          <w:sz w:val="18"/>
        </w:rPr>
        <w:t>Phó Chủ tịch Tổng hội Y học, Chủ tịch Hội Hình thái học Việt Nam</w:t>
      </w:r>
    </w:p>
    <w:p w:rsidR="002A36A5" w:rsidRPr="0077137F" w:rsidRDefault="002A36A5" w:rsidP="002A36A5">
      <w:pPr>
        <w:contextualSpacing/>
        <w:jc w:val="right"/>
        <w:rPr>
          <w:rFonts w:ascii="Times New Roman" w:hAnsi="Times New Roman"/>
          <w:b/>
          <w:bCs/>
          <w:sz w:val="24"/>
        </w:rPr>
      </w:pPr>
    </w:p>
    <w:p w:rsidR="002A36A5" w:rsidRPr="00DF5709" w:rsidRDefault="002A36A5" w:rsidP="002A36A5">
      <w:pPr>
        <w:spacing w:line="260" w:lineRule="exact"/>
        <w:ind w:firstLine="360"/>
        <w:contextualSpacing/>
        <w:jc w:val="both"/>
      </w:pPr>
      <w:r w:rsidRPr="00DF5709">
        <w:t>Mổ khám nghiệm tử thi với các mục đích khác nhau đã có lịch sử hơn 1200 năm và đã có những đóng góp to lớn trong suốt quá trình phát triển của nền y học thế giới. Trong bài báo nhỏ này, chúng tôi xin điểm lại những mốc chính trong lịch sử khám nghiệm tử thi và tầm quan trọng của nó đối với sự tiến bộ của y học.</w:t>
      </w:r>
    </w:p>
    <w:p w:rsidR="002A36A5" w:rsidRDefault="002A36A5" w:rsidP="002A36A5">
      <w:pPr>
        <w:contextualSpacing/>
        <w:jc w:val="both"/>
        <w:rPr>
          <w:b/>
          <w:bCs/>
        </w:rPr>
      </w:pPr>
    </w:p>
    <w:p w:rsidR="002A36A5" w:rsidRPr="0077137F" w:rsidRDefault="002A36A5" w:rsidP="002A36A5">
      <w:pPr>
        <w:contextualSpacing/>
        <w:jc w:val="both"/>
        <w:rPr>
          <w:rFonts w:ascii="Calibri" w:hAnsi="Calibri" w:cs="Calibri"/>
          <w:b/>
          <w:bCs/>
          <w:sz w:val="24"/>
          <w:szCs w:val="24"/>
        </w:rPr>
      </w:pPr>
      <w:r w:rsidRPr="0077137F">
        <w:rPr>
          <w:rFonts w:ascii="Calibri" w:hAnsi="Calibri" w:cs="Calibri"/>
          <w:b/>
          <w:bCs/>
          <w:sz w:val="24"/>
          <w:szCs w:val="24"/>
        </w:rPr>
        <w:t>I. KHÁI NIỆM CHUNG VỀ MỔ KHÁM NGHIỆM TỬ THI</w:t>
      </w:r>
      <w:r w:rsidRPr="0077137F">
        <w:rPr>
          <w:rStyle w:val="FootnoteReference"/>
          <w:rFonts w:ascii="Calibri" w:hAnsi="Calibri" w:cs="Calibri"/>
          <w:bCs/>
          <w:sz w:val="2"/>
          <w:szCs w:val="2"/>
        </w:rPr>
        <w:footnoteReference w:id="1"/>
      </w:r>
    </w:p>
    <w:p w:rsidR="002A36A5" w:rsidRPr="00DF5709" w:rsidRDefault="002A36A5" w:rsidP="002A36A5">
      <w:pPr>
        <w:spacing w:line="260" w:lineRule="exact"/>
        <w:ind w:firstLine="360"/>
        <w:contextualSpacing/>
        <w:jc w:val="both"/>
      </w:pPr>
      <w:r w:rsidRPr="00DF5709">
        <w:t>Nhà bệnh học đến nhà xác phẫu tích với mục đích tìm những hình ảnh giải phẫu bất thường (giải phẫu bệnh học-pathological anatomy). Với mục đích như vậy, như tất cả chúng ta đều biết, mổ tử thi ngày nay khác với cuộc mổ để phát hiện những chức năng của các bộ phận trong cơ thể hay để nghiên cứu với mục đích hội họa, điêu khắc. Một nhà sử học nổi tiếng đã viết: “</w:t>
      </w:r>
      <w:r w:rsidRPr="00DF5709">
        <w:rPr>
          <w:i/>
          <w:iCs/>
        </w:rPr>
        <w:t>Về mặt lịch sử, việc chấp nhận những khám nghiệm tử thi đánh dấu sự phân chia giữa y học tiên tiến, hiện đại với y học nguyên thủy, sơ khai</w:t>
      </w:r>
      <w:r w:rsidRPr="00DF5709">
        <w:t>”.</w:t>
      </w:r>
    </w:p>
    <w:p w:rsidR="008256DB" w:rsidRDefault="008256DB"/>
    <w:p w:rsidR="002A36A5" w:rsidRPr="0077137F" w:rsidRDefault="002A36A5" w:rsidP="002A36A5">
      <w:pPr>
        <w:contextualSpacing/>
        <w:jc w:val="both"/>
        <w:rPr>
          <w:rFonts w:ascii="Calibri" w:hAnsi="Calibri" w:cs="Calibri"/>
          <w:b/>
          <w:bCs/>
          <w:sz w:val="24"/>
          <w:szCs w:val="24"/>
        </w:rPr>
      </w:pPr>
      <w:r w:rsidRPr="0077137F">
        <w:rPr>
          <w:rFonts w:ascii="Calibri" w:hAnsi="Calibri" w:cs="Calibri"/>
          <w:b/>
          <w:bCs/>
          <w:sz w:val="24"/>
          <w:szCs w:val="24"/>
        </w:rPr>
        <w:t>II. NGƯỜI TA MỔ TỬ THI LẦN ĐẦU TIÊN KHI NÀO?</w:t>
      </w:r>
    </w:p>
    <w:p w:rsidR="002A36A5" w:rsidRPr="00DF5709" w:rsidRDefault="002A36A5" w:rsidP="002A36A5">
      <w:pPr>
        <w:spacing w:line="260" w:lineRule="exact"/>
        <w:ind w:firstLine="360"/>
        <w:contextualSpacing/>
        <w:jc w:val="both"/>
      </w:pPr>
      <w:r w:rsidRPr="00DF5709">
        <w:t>Ca mổ tử thi đầu tiên được ghi lại là ở một nơi mà ngày nay là nước Italia và hình như người ta tiến hành mổ tử thi nhiều vào khoảng năm 1300 sau Công nguyên.</w:t>
      </w:r>
    </w:p>
    <w:p w:rsidR="002A36A5" w:rsidRDefault="002A36A5"/>
    <w:p w:rsidR="002A36A5" w:rsidRPr="0077137F" w:rsidRDefault="002A36A5" w:rsidP="002A36A5">
      <w:pPr>
        <w:contextualSpacing/>
        <w:jc w:val="both"/>
        <w:rPr>
          <w:rFonts w:ascii="Calibri" w:hAnsi="Calibri" w:cs="Calibri"/>
          <w:b/>
          <w:bCs/>
          <w:sz w:val="24"/>
        </w:rPr>
      </w:pPr>
      <w:r w:rsidRPr="0077137F">
        <w:rPr>
          <w:rFonts w:ascii="Calibri" w:hAnsi="Calibri" w:cs="Calibri"/>
          <w:b/>
          <w:bCs/>
          <w:sz w:val="24"/>
        </w:rPr>
        <w:t xml:space="preserve">III. NGƯỜI ĐI TIÊN PHONG TRONG MỔ TỬ THI VỚI MỤC ĐÍCH NGHIÊN CỨU GIẢI PHẪU </w:t>
      </w:r>
    </w:p>
    <w:p w:rsidR="002A36A5" w:rsidRDefault="002A36A5" w:rsidP="002A36A5">
      <w:pPr>
        <w:ind w:firstLine="360"/>
        <w:jc w:val="both"/>
      </w:pPr>
      <w:r w:rsidRPr="00DF5709">
        <w:t>Một trong những người vĩ đại nhất của lịch sử giải phẫu học là Andreas Vesalius (1514-1564), ông đã vẽ những tranh về cơ thể người mà có lẽ tới nay chưa ai sánh được. Có thể nói A. Vesalius là người đầu tiên trên thế giới đã mổ tử thi một cách hoàn chỉnh và hệ thống để nghiên cứu và giảng dạy giải phẫu học. Năm 1543, ông xuất bản bộ sách “</w:t>
      </w:r>
      <w:r w:rsidRPr="00DF5709">
        <w:rPr>
          <w:i/>
          <w:iCs/>
        </w:rPr>
        <w:t>De humani corporis fabrica</w:t>
      </w:r>
      <w:r w:rsidRPr="00DF5709">
        <w:t>” (Về cấu tạo cơ thể người) với hơn 700 trang và gần 300 hình vẽ tuyệt đẹp, gây tiếng vang trong giới khoa học thời bấy giờ chẳng kém gì tác phẩm “</w:t>
      </w:r>
      <w:r w:rsidRPr="00DF5709">
        <w:rPr>
          <w:i/>
          <w:iCs/>
        </w:rPr>
        <w:t>De revolutionibus orbitum coelestium</w:t>
      </w:r>
      <w:r w:rsidRPr="00DF5709">
        <w:t>” (Về sự vận hành của các thiên thể) của Kopernik.</w:t>
      </w:r>
    </w:p>
    <w:p w:rsidR="002A36A5" w:rsidRDefault="002A36A5" w:rsidP="002A36A5">
      <w:pPr>
        <w:ind w:firstLine="360"/>
        <w:jc w:val="both"/>
      </w:pPr>
    </w:p>
    <w:p w:rsidR="002A36A5" w:rsidRPr="0077137F" w:rsidRDefault="002A36A5" w:rsidP="002A36A5">
      <w:pPr>
        <w:contextualSpacing/>
        <w:jc w:val="both"/>
        <w:rPr>
          <w:rFonts w:ascii="Calibri" w:hAnsi="Calibri" w:cs="Calibri"/>
          <w:b/>
          <w:bCs/>
          <w:sz w:val="24"/>
        </w:rPr>
      </w:pPr>
      <w:r w:rsidRPr="0077137F">
        <w:rPr>
          <w:rFonts w:ascii="Calibri" w:hAnsi="Calibri" w:cs="Calibri"/>
          <w:b/>
          <w:bCs/>
          <w:sz w:val="24"/>
        </w:rPr>
        <w:t>IV. MỔ KHÁM NGHIỆM TỬ THI VỚI MỤC ĐÍCH NGHIÊN CỨU BỆNH HỌC</w:t>
      </w:r>
    </w:p>
    <w:p w:rsidR="002A36A5" w:rsidRDefault="002A36A5" w:rsidP="002A36A5">
      <w:pPr>
        <w:ind w:firstLine="360"/>
        <w:jc w:val="both"/>
      </w:pPr>
      <w:r w:rsidRPr="00DF5709">
        <w:t>Quyển sách đầu tiên về giải phẫu bệnh do một người Italia viết vào thế kỷ XV nhưng chỉ đến thế kỷ XVIII, xung quanh khoảng thời gian Jenner phát minh ra vacxin phòng chống bệnh đậu mùa và Napoléon  mới là một cậu thanh niên choai, giải phẫu bệnh đại thể mới có những bước tiến lớn. Chính trong thời gian này đã xuất hiện nhà bệnh học đầu tiên là Morgagni, người đã xuất bả</w:t>
      </w:r>
      <w:bookmarkStart w:id="0" w:name="_GoBack"/>
      <w:bookmarkEnd w:id="0"/>
      <w:r w:rsidRPr="00DF5709">
        <w:t>n một cuốn sách mô tả rất chi tiết các phát hiện về bệnh học vào năm 1761.</w:t>
      </w:r>
    </w:p>
    <w:p w:rsidR="002A36A5" w:rsidRDefault="002A36A5" w:rsidP="002A36A5">
      <w:pPr>
        <w:jc w:val="both"/>
      </w:pPr>
    </w:p>
    <w:p w:rsidR="002A36A5" w:rsidRPr="0077137F" w:rsidRDefault="002A36A5" w:rsidP="002A36A5">
      <w:pPr>
        <w:contextualSpacing/>
        <w:jc w:val="both"/>
        <w:rPr>
          <w:rFonts w:ascii="Calibri" w:hAnsi="Calibri" w:cs="Calibri"/>
          <w:b/>
          <w:bCs/>
          <w:sz w:val="24"/>
        </w:rPr>
      </w:pPr>
      <w:r w:rsidRPr="0077137F">
        <w:rPr>
          <w:rFonts w:ascii="Calibri" w:hAnsi="Calibri" w:cs="Calibri"/>
          <w:b/>
          <w:bCs/>
          <w:sz w:val="24"/>
        </w:rPr>
        <w:t>V. TÌNH HÌNH MỔ KHÁM NGHIỆM TỬ THI Ở NƯỚC TA HIỆN NAY</w:t>
      </w:r>
    </w:p>
    <w:p w:rsidR="002A36A5" w:rsidRDefault="002A36A5" w:rsidP="002A36A5">
      <w:pPr>
        <w:ind w:firstLine="360"/>
        <w:jc w:val="both"/>
      </w:pPr>
      <w:r w:rsidRPr="00DF5709">
        <w:t xml:space="preserve">Mổ khám nghiệm tử thi trong y học có ba mục đích chính: </w:t>
      </w:r>
      <w:r w:rsidRPr="00DF5709">
        <w:rPr>
          <w:i/>
          <w:iCs/>
        </w:rPr>
        <w:t>nghiên cứu giải phẫu học</w:t>
      </w:r>
      <w:r w:rsidRPr="00DF5709">
        <w:t xml:space="preserve"> (</w:t>
      </w:r>
      <w:r w:rsidRPr="00DF5709">
        <w:rPr>
          <w:i/>
          <w:iCs/>
        </w:rPr>
        <w:t>anatomical study</w:t>
      </w:r>
      <w:r w:rsidRPr="00DF5709">
        <w:t xml:space="preserve">), tiến hành trên các thi thể ngâm formol, phục vụ giảng dạy, học tập và nghiên cứu khoa học cho các giảng viên giải phẫu, nhà nghiên cứu y học và sinh viên y khoa; </w:t>
      </w:r>
      <w:r w:rsidRPr="00DF5709">
        <w:rPr>
          <w:i/>
          <w:iCs/>
        </w:rPr>
        <w:t>nghiên cứu bệnh học</w:t>
      </w:r>
      <w:r w:rsidRPr="00DF5709">
        <w:t xml:space="preserve"> (</w:t>
      </w:r>
      <w:r w:rsidRPr="00DF5709">
        <w:rPr>
          <w:i/>
          <w:iCs/>
        </w:rPr>
        <w:t>pathological study</w:t>
      </w:r>
      <w:r w:rsidRPr="00DF5709">
        <w:t xml:space="preserve">) tiến hành trên các thi thể mới chết, phục vụ việc tìm hiểu nguyên nhân và cơ chế bệnh tật của các nhà giải phẫu bệnh học và thầy thuốc thực hành; </w:t>
      </w:r>
      <w:r w:rsidRPr="00DF5709">
        <w:rPr>
          <w:i/>
          <w:iCs/>
        </w:rPr>
        <w:t>nghiên cứu cấy ghép mô và cơ quan</w:t>
      </w:r>
      <w:r w:rsidRPr="00DF5709">
        <w:t xml:space="preserve"> (</w:t>
      </w:r>
      <w:r w:rsidRPr="00DF5709">
        <w:rPr>
          <w:i/>
          <w:iCs/>
        </w:rPr>
        <w:t>transplantational study</w:t>
      </w:r>
      <w:r w:rsidRPr="00DF5709">
        <w:t>) tiến hành lấy mô và cơ quan trên các thi thể mới chết hay “chết não”, phục vụ việc cấy ghép cho bệnh nhân của các nhà phẫu thuật ghép.</w:t>
      </w:r>
    </w:p>
    <w:sectPr w:rsidR="002A36A5">
      <w:headerReference w:type="even" r:id="rId6"/>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FE" w:rsidRDefault="00853CFE" w:rsidP="002A36A5">
      <w:r>
        <w:separator/>
      </w:r>
    </w:p>
  </w:endnote>
  <w:endnote w:type="continuationSeparator" w:id="0">
    <w:p w:rsidR="00853CFE" w:rsidRDefault="00853CFE" w:rsidP="002A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Vogu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FE" w:rsidRDefault="00853CFE" w:rsidP="002A36A5">
      <w:r>
        <w:separator/>
      </w:r>
    </w:p>
  </w:footnote>
  <w:footnote w:type="continuationSeparator" w:id="0">
    <w:p w:rsidR="00853CFE" w:rsidRDefault="00853CFE" w:rsidP="002A36A5">
      <w:r>
        <w:continuationSeparator/>
      </w:r>
    </w:p>
  </w:footnote>
  <w:footnote w:id="1">
    <w:p w:rsidR="002A36A5" w:rsidRPr="002A36A5" w:rsidRDefault="002A36A5" w:rsidP="002A36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E1"/>
    <w:rsid w:val="002A36A5"/>
    <w:rsid w:val="004B11E1"/>
    <w:rsid w:val="008256DB"/>
    <w:rsid w:val="00853C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1D02-A54D-4668-B0FD-95940390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2"/>
    <w:rsid w:val="002A36A5"/>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2A36A5"/>
    <w:rPr>
      <w:rFonts w:ascii="Tahoma" w:eastAsia="Times New Roman" w:hAnsi="Tahoma" w:cs="Tahoma"/>
      <w:color w:val="000000"/>
      <w:sz w:val="20"/>
      <w:szCs w:val="20"/>
      <w:lang w:val="en-US"/>
    </w:rPr>
  </w:style>
  <w:style w:type="character" w:customStyle="1" w:styleId="FooterChar2">
    <w:name w:val="Footer Char2"/>
    <w:aliases w:val="FooterQ Char"/>
    <w:link w:val="Footer"/>
    <w:rsid w:val="002A36A5"/>
    <w:rPr>
      <w:rFonts w:ascii="Tahoma" w:eastAsia="Times New Roman" w:hAnsi="Tahoma" w:cs="Tahoma"/>
      <w:color w:val="000000"/>
      <w:sz w:val="28"/>
      <w:szCs w:val="28"/>
      <w:lang w:val="en-US"/>
    </w:rPr>
  </w:style>
  <w:style w:type="paragraph" w:styleId="Header">
    <w:name w:val="header"/>
    <w:basedOn w:val="Normal"/>
    <w:link w:val="HeaderChar2"/>
    <w:uiPriority w:val="99"/>
    <w:rsid w:val="002A36A5"/>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2A36A5"/>
    <w:rPr>
      <w:rFonts w:ascii="Tahoma" w:eastAsia="Times New Roman" w:hAnsi="Tahoma" w:cs="Tahoma"/>
      <w:color w:val="000000"/>
      <w:sz w:val="20"/>
      <w:szCs w:val="20"/>
      <w:lang w:val="en-US"/>
    </w:rPr>
  </w:style>
  <w:style w:type="character" w:customStyle="1" w:styleId="HeaderChar2">
    <w:name w:val="Header Char2"/>
    <w:link w:val="Header"/>
    <w:uiPriority w:val="99"/>
    <w:locked/>
    <w:rsid w:val="002A36A5"/>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2A36A5"/>
    <w:rPr>
      <w:vertAlign w:val="superscript"/>
    </w:rPr>
  </w:style>
  <w:style w:type="paragraph" w:styleId="FootnoteText">
    <w:name w:val="footnote text"/>
    <w:basedOn w:val="Normal"/>
    <w:link w:val="FootnoteTextChar"/>
    <w:uiPriority w:val="99"/>
    <w:semiHidden/>
    <w:unhideWhenUsed/>
    <w:rsid w:val="002A36A5"/>
  </w:style>
  <w:style w:type="character" w:customStyle="1" w:styleId="FootnoteTextChar">
    <w:name w:val="Footnote Text Char"/>
    <w:basedOn w:val="DefaultParagraphFont"/>
    <w:link w:val="FootnoteText"/>
    <w:uiPriority w:val="99"/>
    <w:semiHidden/>
    <w:rsid w:val="002A36A5"/>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2015-08-17T02:43:00Z</dcterms:created>
  <dcterms:modified xsi:type="dcterms:W3CDTF">2015-08-17T02:51:00Z</dcterms:modified>
</cp:coreProperties>
</file>