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9D" w:rsidRDefault="00075A9D" w:rsidP="00075A9D">
      <w:pPr>
        <w:pStyle w:val="Title"/>
        <w:contextualSpacing/>
        <w:rPr>
          <w:rFonts w:ascii="Cambria" w:hAnsi="Cambria"/>
          <w:b/>
          <w:sz w:val="28"/>
        </w:rPr>
      </w:pPr>
      <w:r w:rsidRPr="002E432A">
        <w:rPr>
          <w:rFonts w:ascii="Cambria" w:hAnsi="Cambria"/>
          <w:b/>
          <w:sz w:val="28"/>
        </w:rPr>
        <w:t xml:space="preserve">ĐÁNH GIÁ KẾT QUẢ ĐIỀU TRỊ TỔN KHUYẾT SÀN Ổ MẮT </w:t>
      </w:r>
    </w:p>
    <w:p w:rsidR="00075A9D" w:rsidRDefault="00075A9D" w:rsidP="00075A9D">
      <w:pPr>
        <w:pStyle w:val="Title"/>
        <w:contextualSpacing/>
        <w:rPr>
          <w:rFonts w:ascii="Cambria" w:hAnsi="Cambria"/>
          <w:b/>
          <w:sz w:val="28"/>
        </w:rPr>
      </w:pPr>
      <w:r w:rsidRPr="002E432A">
        <w:rPr>
          <w:rFonts w:ascii="Cambria" w:hAnsi="Cambria"/>
          <w:b/>
          <w:sz w:val="28"/>
        </w:rPr>
        <w:t xml:space="preserve">TRONG CHẤN THƯƠNG GÃY XƯƠNG </w:t>
      </w:r>
    </w:p>
    <w:p w:rsidR="00075A9D" w:rsidRPr="00107F54" w:rsidRDefault="00075A9D" w:rsidP="00075A9D">
      <w:pPr>
        <w:pStyle w:val="Title"/>
        <w:contextualSpacing/>
        <w:rPr>
          <w:rFonts w:ascii="Cambria" w:hAnsi="Cambria"/>
          <w:b/>
          <w:sz w:val="28"/>
        </w:rPr>
      </w:pPr>
      <w:r w:rsidRPr="002E432A">
        <w:rPr>
          <w:rFonts w:ascii="Cambria" w:hAnsi="Cambria"/>
          <w:b/>
          <w:sz w:val="28"/>
        </w:rPr>
        <w:t>TẦNG</w:t>
      </w:r>
      <w:r>
        <w:rPr>
          <w:rFonts w:ascii="Cambria" w:hAnsi="Cambria"/>
          <w:b/>
          <w:sz w:val="28"/>
        </w:rPr>
        <w:t xml:space="preserve"> </w:t>
      </w:r>
      <w:r w:rsidRPr="002E432A">
        <w:rPr>
          <w:rFonts w:ascii="Cambria" w:hAnsi="Cambria"/>
          <w:b/>
          <w:sz w:val="28"/>
        </w:rPr>
        <w:t>GIỮA MẶT BẰNG GHÉP XƯƠNG TỰ THÂN</w:t>
      </w:r>
    </w:p>
    <w:p w:rsidR="00075A9D" w:rsidRDefault="00075A9D" w:rsidP="00075A9D">
      <w:pPr>
        <w:contextualSpacing/>
        <w:jc w:val="both"/>
        <w:rPr>
          <w:lang w:val="vi-VN"/>
        </w:rPr>
      </w:pPr>
      <w:r w:rsidRPr="00DF5709">
        <w:rPr>
          <w:b/>
        </w:rPr>
        <w:tab/>
      </w:r>
      <w:r w:rsidRPr="00DF5709">
        <w:rPr>
          <w:b/>
        </w:rPr>
        <w:tab/>
      </w:r>
      <w:r w:rsidRPr="00DF5709">
        <w:rPr>
          <w:b/>
        </w:rPr>
        <w:tab/>
      </w:r>
      <w:r w:rsidRPr="00DF5709">
        <w:rPr>
          <w:b/>
        </w:rPr>
        <w:tab/>
      </w:r>
      <w:r w:rsidRPr="00DF5709">
        <w:rPr>
          <w:b/>
        </w:rPr>
        <w:tab/>
      </w:r>
      <w:r w:rsidRPr="00DF5709">
        <w:t xml:space="preserve">         </w:t>
      </w:r>
    </w:p>
    <w:p w:rsidR="00075A9D" w:rsidRDefault="00075A9D" w:rsidP="00075A9D">
      <w:pPr>
        <w:contextualSpacing/>
        <w:jc w:val="right"/>
        <w:rPr>
          <w:rFonts w:ascii="Times New Roman" w:hAnsi="Times New Roman"/>
          <w:b/>
          <w:sz w:val="24"/>
        </w:rPr>
      </w:pPr>
      <w:r w:rsidRPr="00182FE4">
        <w:rPr>
          <w:b/>
          <w:sz w:val="24"/>
        </w:rPr>
        <w:t xml:space="preserve">   </w:t>
      </w:r>
      <w:r w:rsidRPr="00182FE4">
        <w:rPr>
          <w:rFonts w:ascii="Times New Roman" w:hAnsi="Times New Roman"/>
          <w:b/>
          <w:sz w:val="24"/>
        </w:rPr>
        <w:t>Vũ Ngọc Lâm*</w:t>
      </w:r>
      <w:r>
        <w:rPr>
          <w:rFonts w:ascii="Times New Roman" w:hAnsi="Times New Roman"/>
          <w:b/>
          <w:sz w:val="24"/>
        </w:rPr>
        <w:t xml:space="preserve">, </w:t>
      </w:r>
      <w:r w:rsidRPr="00182FE4">
        <w:rPr>
          <w:rFonts w:ascii="Times New Roman" w:hAnsi="Times New Roman"/>
          <w:b/>
          <w:sz w:val="24"/>
        </w:rPr>
        <w:t>Lê Mạnh Cường**</w:t>
      </w:r>
      <w:r w:rsidRPr="00182FE4">
        <w:rPr>
          <w:rFonts w:ascii="Times New Roman" w:hAnsi="Times New Roman"/>
          <w:b/>
          <w:sz w:val="24"/>
          <w:lang w:val="vi-VN"/>
        </w:rPr>
        <w:t xml:space="preserve">   </w:t>
      </w:r>
    </w:p>
    <w:p w:rsidR="00075A9D" w:rsidRDefault="00075A9D" w:rsidP="00075A9D">
      <w:pPr>
        <w:contextualSpacing/>
        <w:jc w:val="both"/>
        <w:rPr>
          <w:rFonts w:ascii="Calibri" w:hAnsi="Calibri"/>
          <w:b/>
          <w:sz w:val="24"/>
          <w:lang w:val="vi-VN"/>
        </w:rPr>
      </w:pPr>
    </w:p>
    <w:p w:rsidR="00075A9D" w:rsidRPr="002E432A" w:rsidRDefault="00075A9D" w:rsidP="00075A9D">
      <w:pPr>
        <w:contextualSpacing/>
        <w:jc w:val="both"/>
        <w:rPr>
          <w:rFonts w:ascii="Calibri" w:hAnsi="Calibri"/>
          <w:b/>
        </w:rPr>
      </w:pPr>
      <w:r w:rsidRPr="00887493">
        <w:rPr>
          <w:rFonts w:ascii="Calibri" w:hAnsi="Calibri"/>
          <w:b/>
          <w:sz w:val="24"/>
          <w:lang w:val="vi-VN"/>
        </w:rPr>
        <w:t>TÓM TẮT</w:t>
      </w:r>
      <w:r w:rsidRPr="002E432A">
        <w:rPr>
          <w:rStyle w:val="FootnoteReference"/>
          <w:rFonts w:ascii="Calibri" w:hAnsi="Calibri"/>
          <w:b/>
          <w:sz w:val="2"/>
          <w:szCs w:val="2"/>
          <w:lang w:val="vi-VN"/>
        </w:rPr>
        <w:footnoteReference w:id="1"/>
      </w:r>
      <w:r w:rsidRPr="002E432A">
        <w:rPr>
          <w:rFonts w:ascii="Calibri" w:hAnsi="Calibri"/>
          <w:b/>
          <w:sz w:val="2"/>
          <w:szCs w:val="2"/>
        </w:rPr>
        <w:t xml:space="preserve"> </w:t>
      </w:r>
    </w:p>
    <w:p w:rsidR="00075A9D" w:rsidRPr="00075A9D" w:rsidRDefault="00075A9D" w:rsidP="00075A9D">
      <w:pPr>
        <w:spacing w:line="276" w:lineRule="auto"/>
        <w:ind w:firstLine="360"/>
        <w:contextualSpacing/>
        <w:jc w:val="both"/>
        <w:rPr>
          <w:sz w:val="24"/>
          <w:szCs w:val="24"/>
        </w:rPr>
      </w:pPr>
      <w:r w:rsidRPr="00075A9D">
        <w:rPr>
          <w:sz w:val="24"/>
          <w:szCs w:val="24"/>
          <w:lang w:val="vi-VN"/>
        </w:rPr>
        <w:t xml:space="preserve">Nghiên cứu trên </w:t>
      </w:r>
      <w:r w:rsidRPr="00075A9D">
        <w:rPr>
          <w:sz w:val="24"/>
          <w:szCs w:val="24"/>
        </w:rPr>
        <w:t>20</w:t>
      </w:r>
      <w:r w:rsidRPr="00075A9D">
        <w:rPr>
          <w:sz w:val="24"/>
          <w:szCs w:val="24"/>
          <w:lang w:val="vi-VN"/>
        </w:rPr>
        <w:t xml:space="preserve"> bệnh nhân (BN)</w:t>
      </w:r>
      <w:r w:rsidRPr="00075A9D">
        <w:rPr>
          <w:sz w:val="24"/>
          <w:szCs w:val="24"/>
        </w:rPr>
        <w:t xml:space="preserve"> 16</w:t>
      </w:r>
      <w:r w:rsidRPr="00075A9D">
        <w:rPr>
          <w:sz w:val="24"/>
          <w:szCs w:val="24"/>
          <w:lang w:val="vi-VN"/>
        </w:rPr>
        <w:t xml:space="preserve"> nam </w:t>
      </w:r>
      <w:r w:rsidRPr="00075A9D">
        <w:rPr>
          <w:sz w:val="24"/>
          <w:szCs w:val="24"/>
        </w:rPr>
        <w:t>4</w:t>
      </w:r>
      <w:r w:rsidRPr="00075A9D">
        <w:rPr>
          <w:sz w:val="24"/>
          <w:szCs w:val="24"/>
          <w:lang w:val="vi-VN"/>
        </w:rPr>
        <w:t xml:space="preserve"> nữ, tuổi từ </w:t>
      </w:r>
      <w:r w:rsidRPr="00075A9D">
        <w:rPr>
          <w:sz w:val="24"/>
          <w:szCs w:val="24"/>
        </w:rPr>
        <w:t>18</w:t>
      </w:r>
      <w:r w:rsidRPr="00075A9D">
        <w:rPr>
          <w:sz w:val="24"/>
          <w:szCs w:val="24"/>
          <w:lang w:val="vi-VN"/>
        </w:rPr>
        <w:t>-</w:t>
      </w:r>
      <w:r w:rsidRPr="00075A9D">
        <w:rPr>
          <w:sz w:val="24"/>
          <w:szCs w:val="24"/>
        </w:rPr>
        <w:t>47</w:t>
      </w:r>
      <w:r w:rsidRPr="00075A9D">
        <w:rPr>
          <w:sz w:val="24"/>
          <w:szCs w:val="24"/>
          <w:lang w:val="vi-VN"/>
        </w:rPr>
        <w:t xml:space="preserve"> </w:t>
      </w:r>
      <w:r w:rsidRPr="00075A9D">
        <w:rPr>
          <w:sz w:val="24"/>
          <w:szCs w:val="24"/>
        </w:rPr>
        <w:t xml:space="preserve">bị chấn thương </w:t>
      </w:r>
      <w:r w:rsidRPr="00075A9D">
        <w:rPr>
          <w:sz w:val="24"/>
          <w:szCs w:val="24"/>
          <w:lang w:val="vi-VN"/>
        </w:rPr>
        <w:t xml:space="preserve">gãy xương tầng giữa mặt có tổn khuyết </w:t>
      </w:r>
      <w:r w:rsidRPr="00075A9D">
        <w:rPr>
          <w:sz w:val="24"/>
          <w:szCs w:val="24"/>
        </w:rPr>
        <w:t xml:space="preserve">lớn </w:t>
      </w:r>
      <w:r w:rsidRPr="00075A9D">
        <w:rPr>
          <w:sz w:val="24"/>
          <w:szCs w:val="24"/>
          <w:lang w:val="vi-VN"/>
        </w:rPr>
        <w:t xml:space="preserve">sàn ổ mắt </w:t>
      </w:r>
      <w:r w:rsidRPr="00075A9D">
        <w:rPr>
          <w:sz w:val="24"/>
          <w:szCs w:val="24"/>
        </w:rPr>
        <w:t xml:space="preserve">(SOM) </w:t>
      </w:r>
      <w:r w:rsidRPr="00075A9D">
        <w:rPr>
          <w:sz w:val="24"/>
          <w:szCs w:val="24"/>
          <w:lang w:val="vi-VN"/>
        </w:rPr>
        <w:t xml:space="preserve">được phẫu thuật </w:t>
      </w:r>
      <w:r w:rsidRPr="00075A9D">
        <w:rPr>
          <w:sz w:val="24"/>
          <w:szCs w:val="24"/>
        </w:rPr>
        <w:t xml:space="preserve">nắn chỉnh kết xương và </w:t>
      </w:r>
      <w:r w:rsidRPr="00075A9D">
        <w:rPr>
          <w:sz w:val="24"/>
          <w:szCs w:val="24"/>
          <w:lang w:val="vi-VN"/>
        </w:rPr>
        <w:t xml:space="preserve">phục hình </w:t>
      </w:r>
      <w:r w:rsidRPr="00075A9D">
        <w:rPr>
          <w:sz w:val="24"/>
          <w:szCs w:val="24"/>
        </w:rPr>
        <w:t xml:space="preserve">SOM </w:t>
      </w:r>
      <w:r w:rsidRPr="00075A9D">
        <w:rPr>
          <w:sz w:val="24"/>
          <w:szCs w:val="24"/>
          <w:lang w:val="vi-VN"/>
        </w:rPr>
        <w:t xml:space="preserve">bằng </w:t>
      </w:r>
      <w:r w:rsidRPr="00075A9D">
        <w:rPr>
          <w:sz w:val="24"/>
          <w:szCs w:val="24"/>
        </w:rPr>
        <w:t xml:space="preserve">xương tự thân </w:t>
      </w:r>
      <w:r w:rsidRPr="00075A9D">
        <w:rPr>
          <w:sz w:val="24"/>
          <w:szCs w:val="24"/>
          <w:lang w:val="vi-VN"/>
        </w:rPr>
        <w:t xml:space="preserve">tại khoa </w:t>
      </w:r>
      <w:r w:rsidRPr="00075A9D">
        <w:rPr>
          <w:sz w:val="24"/>
          <w:szCs w:val="24"/>
        </w:rPr>
        <w:t>P</w:t>
      </w:r>
      <w:r w:rsidRPr="00075A9D">
        <w:rPr>
          <w:sz w:val="24"/>
          <w:szCs w:val="24"/>
          <w:lang w:val="vi-VN"/>
        </w:rPr>
        <w:t>hẫu thuật Hàm mặt-</w:t>
      </w:r>
      <w:r w:rsidRPr="00075A9D">
        <w:rPr>
          <w:sz w:val="24"/>
          <w:szCs w:val="24"/>
        </w:rPr>
        <w:t xml:space="preserve"> </w:t>
      </w:r>
      <w:r w:rsidRPr="00075A9D">
        <w:rPr>
          <w:sz w:val="24"/>
          <w:szCs w:val="24"/>
          <w:lang w:val="vi-VN"/>
        </w:rPr>
        <w:t xml:space="preserve">Bệnh viện 103 từ tháng </w:t>
      </w:r>
      <w:r w:rsidRPr="00075A9D">
        <w:rPr>
          <w:sz w:val="24"/>
          <w:szCs w:val="24"/>
        </w:rPr>
        <w:t>7</w:t>
      </w:r>
      <w:r w:rsidRPr="00075A9D">
        <w:rPr>
          <w:sz w:val="24"/>
          <w:szCs w:val="24"/>
          <w:lang w:val="vi-VN"/>
        </w:rPr>
        <w:t>/ 201</w:t>
      </w:r>
      <w:r w:rsidRPr="00075A9D">
        <w:rPr>
          <w:sz w:val="24"/>
          <w:szCs w:val="24"/>
        </w:rPr>
        <w:t>1</w:t>
      </w:r>
      <w:r w:rsidRPr="00075A9D">
        <w:rPr>
          <w:sz w:val="24"/>
          <w:szCs w:val="24"/>
          <w:lang w:val="vi-VN"/>
        </w:rPr>
        <w:t xml:space="preserve"> đến tháng </w:t>
      </w:r>
      <w:r w:rsidRPr="00075A9D">
        <w:rPr>
          <w:sz w:val="24"/>
          <w:szCs w:val="24"/>
        </w:rPr>
        <w:t>7</w:t>
      </w:r>
      <w:r w:rsidRPr="00075A9D">
        <w:rPr>
          <w:sz w:val="24"/>
          <w:szCs w:val="24"/>
          <w:lang w:val="vi-VN"/>
        </w:rPr>
        <w:t>/ 201</w:t>
      </w:r>
      <w:r w:rsidRPr="00075A9D">
        <w:rPr>
          <w:sz w:val="24"/>
          <w:szCs w:val="24"/>
        </w:rPr>
        <w:t>3</w:t>
      </w:r>
      <w:r w:rsidRPr="00075A9D">
        <w:rPr>
          <w:sz w:val="24"/>
          <w:szCs w:val="24"/>
          <w:lang w:val="vi-VN"/>
        </w:rPr>
        <w:t xml:space="preserve">. </w:t>
      </w:r>
    </w:p>
    <w:p w:rsidR="00075A9D" w:rsidRPr="00075A9D" w:rsidRDefault="00075A9D" w:rsidP="00075A9D">
      <w:pPr>
        <w:spacing w:line="276" w:lineRule="auto"/>
        <w:ind w:firstLine="360"/>
        <w:contextualSpacing/>
        <w:jc w:val="both"/>
        <w:rPr>
          <w:sz w:val="24"/>
          <w:szCs w:val="24"/>
        </w:rPr>
      </w:pPr>
      <w:r w:rsidRPr="00075A9D">
        <w:rPr>
          <w:sz w:val="24"/>
          <w:szCs w:val="24"/>
        </w:rPr>
        <w:t>Kết quả gần: Về chức năng: kết quả tốt</w:t>
      </w:r>
      <w:bookmarkStart w:id="0" w:name="_GoBack"/>
      <w:bookmarkEnd w:id="0"/>
      <w:r w:rsidRPr="00075A9D">
        <w:rPr>
          <w:sz w:val="24"/>
          <w:szCs w:val="24"/>
        </w:rPr>
        <w:t xml:space="preserve"> 18/20BN  chiếm tỷ lệ 90%, khá  có 2/20 BN chiếm tỷ lệ 10%. Về phục hồi xương - Thẩm mỹ: kết quả tốt: 15/20BN chiếm tỷ lệ 75%. Khá: 5/20BN chiếm tỷ lệ 25%. </w:t>
      </w:r>
    </w:p>
    <w:p w:rsidR="00075A9D" w:rsidRPr="00075A9D" w:rsidRDefault="00075A9D" w:rsidP="00075A9D">
      <w:pPr>
        <w:spacing w:line="276" w:lineRule="auto"/>
        <w:ind w:firstLine="360"/>
        <w:contextualSpacing/>
        <w:jc w:val="both"/>
        <w:rPr>
          <w:spacing w:val="-2"/>
          <w:sz w:val="24"/>
          <w:szCs w:val="24"/>
        </w:rPr>
      </w:pPr>
      <w:r w:rsidRPr="00075A9D">
        <w:rPr>
          <w:spacing w:val="-2"/>
          <w:sz w:val="24"/>
          <w:szCs w:val="24"/>
        </w:rPr>
        <w:t xml:space="preserve">Kết quả xa: Về chức năng: tốt 20/20BN (100%). Về phục hồi xương - Thẩm mỹ: kết quả tốt: 14/20BN chiếm tỷ lệ 70%, khá: 6/20BN chiếm tỷ lệ 30%, với 2BN tiêu một phần mảnh xương ghép chiếm tỷ lệ 10%. </w:t>
      </w:r>
    </w:p>
    <w:p w:rsidR="00075A9D" w:rsidRPr="00075A9D" w:rsidRDefault="00075A9D" w:rsidP="00075A9D">
      <w:pPr>
        <w:spacing w:line="276" w:lineRule="auto"/>
        <w:ind w:firstLine="360"/>
        <w:contextualSpacing/>
        <w:jc w:val="both"/>
        <w:rPr>
          <w:spacing w:val="-6"/>
          <w:sz w:val="24"/>
          <w:szCs w:val="24"/>
        </w:rPr>
      </w:pPr>
      <w:r w:rsidRPr="00075A9D">
        <w:rPr>
          <w:b/>
          <w:i/>
          <w:spacing w:val="-6"/>
          <w:sz w:val="24"/>
          <w:szCs w:val="24"/>
        </w:rPr>
        <w:t xml:space="preserve"> Từ khóa:</w:t>
      </w:r>
      <w:r w:rsidRPr="00075A9D">
        <w:rPr>
          <w:spacing w:val="-6"/>
          <w:sz w:val="24"/>
          <w:szCs w:val="24"/>
        </w:rPr>
        <w:t xml:space="preserve"> Gãy xương tầng giữa mặt; Gãy sàn ổ mắt.</w:t>
      </w:r>
    </w:p>
    <w:p w:rsidR="00075A9D" w:rsidRPr="00DF5709" w:rsidRDefault="00075A9D" w:rsidP="00075A9D">
      <w:pPr>
        <w:contextualSpacing/>
        <w:jc w:val="both"/>
      </w:pPr>
    </w:p>
    <w:p w:rsidR="00075A9D" w:rsidRPr="00887493" w:rsidRDefault="00075A9D" w:rsidP="00075A9D">
      <w:pPr>
        <w:contextualSpacing/>
        <w:jc w:val="both"/>
        <w:rPr>
          <w:rFonts w:ascii="Calibri" w:hAnsi="Calibri"/>
          <w:b/>
          <w:sz w:val="24"/>
          <w:lang w:val="vi-VN"/>
        </w:rPr>
      </w:pPr>
      <w:r w:rsidRPr="00887493">
        <w:rPr>
          <w:rFonts w:ascii="Calibri" w:hAnsi="Calibri"/>
          <w:b/>
          <w:sz w:val="24"/>
          <w:lang w:val="vi-VN"/>
        </w:rPr>
        <w:t>SUMMARY</w:t>
      </w:r>
    </w:p>
    <w:p w:rsidR="00075A9D" w:rsidRPr="00452E7A" w:rsidRDefault="00075A9D" w:rsidP="00075A9D">
      <w:pPr>
        <w:contextualSpacing/>
        <w:jc w:val="center"/>
        <w:rPr>
          <w:b/>
        </w:rPr>
      </w:pPr>
      <w:r w:rsidRPr="00452E7A">
        <w:rPr>
          <w:b/>
        </w:rPr>
        <w:t>THE OUT COME ACCESSMENT OF ORBITAL FLOOR DEFECT TREATMENT USING AUTOGENOUS BONE GRAFT</w:t>
      </w:r>
    </w:p>
    <w:p w:rsidR="00075A9D" w:rsidRPr="00075A9D" w:rsidRDefault="00075A9D" w:rsidP="00075A9D">
      <w:pPr>
        <w:spacing w:line="276" w:lineRule="auto"/>
        <w:ind w:firstLine="360"/>
        <w:contextualSpacing/>
        <w:jc w:val="both"/>
        <w:rPr>
          <w:sz w:val="24"/>
          <w:szCs w:val="24"/>
        </w:rPr>
      </w:pPr>
      <w:r w:rsidRPr="00075A9D">
        <w:rPr>
          <w:sz w:val="24"/>
          <w:szCs w:val="24"/>
        </w:rPr>
        <w:t xml:space="preserve"> Study on the 20 patients including 16 males and 4 females, aged range  from 18  to 47 suffered from  large orbital floor defect in the midface traumatic fractures. The treatment procedures contain fracments reduction, bone fixation and  autogenous bone graft in the fractured orbital floor. </w:t>
      </w:r>
    </w:p>
    <w:p w:rsidR="00075A9D" w:rsidRPr="00075A9D" w:rsidRDefault="00075A9D" w:rsidP="00075A9D">
      <w:pPr>
        <w:spacing w:line="276" w:lineRule="auto"/>
        <w:ind w:firstLine="360"/>
        <w:contextualSpacing/>
        <w:jc w:val="both"/>
        <w:rPr>
          <w:sz w:val="24"/>
          <w:szCs w:val="24"/>
        </w:rPr>
      </w:pPr>
      <w:r w:rsidRPr="00075A9D">
        <w:rPr>
          <w:sz w:val="24"/>
          <w:szCs w:val="24"/>
        </w:rPr>
        <w:t xml:space="preserve">The study conducted  in Maxillo facial and plastic surgery Department, Hospital 103, from July, 2011 to July, 2013  </w:t>
      </w:r>
    </w:p>
    <w:p w:rsidR="00075A9D" w:rsidRPr="00075A9D" w:rsidRDefault="00075A9D" w:rsidP="00075A9D">
      <w:pPr>
        <w:spacing w:line="276" w:lineRule="auto"/>
        <w:ind w:firstLine="360"/>
        <w:contextualSpacing/>
        <w:jc w:val="both"/>
        <w:rPr>
          <w:sz w:val="24"/>
          <w:szCs w:val="24"/>
        </w:rPr>
      </w:pPr>
      <w:r w:rsidRPr="00075A9D">
        <w:rPr>
          <w:sz w:val="24"/>
          <w:szCs w:val="24"/>
        </w:rPr>
        <w:t xml:space="preserve">The outcome: Before 6 month postoperatively, in </w:t>
      </w:r>
      <w:r w:rsidRPr="00075A9D">
        <w:rPr>
          <w:i/>
          <w:sz w:val="24"/>
          <w:szCs w:val="24"/>
        </w:rPr>
        <w:t>function</w:t>
      </w:r>
      <w:r w:rsidRPr="00075A9D">
        <w:rPr>
          <w:sz w:val="24"/>
          <w:szCs w:val="24"/>
        </w:rPr>
        <w:t xml:space="preserve">: we got 18 patients (90%) with good result,  2 patients (10%) were fair. In </w:t>
      </w:r>
      <w:r w:rsidRPr="00075A9D">
        <w:rPr>
          <w:i/>
          <w:sz w:val="24"/>
          <w:szCs w:val="24"/>
        </w:rPr>
        <w:t>Anatomical aspect- Aesthetic result</w:t>
      </w:r>
      <w:r w:rsidRPr="00075A9D">
        <w:rPr>
          <w:sz w:val="24"/>
          <w:szCs w:val="24"/>
        </w:rPr>
        <w:t xml:space="preserve">: 15 patients (75%) were good mean while 5 patients (25%) with fair result. </w:t>
      </w:r>
    </w:p>
    <w:p w:rsidR="00075A9D" w:rsidRPr="00075A9D" w:rsidRDefault="00075A9D" w:rsidP="00075A9D">
      <w:pPr>
        <w:spacing w:line="276" w:lineRule="auto"/>
        <w:ind w:firstLine="360"/>
        <w:contextualSpacing/>
        <w:jc w:val="both"/>
        <w:rPr>
          <w:sz w:val="24"/>
          <w:szCs w:val="24"/>
        </w:rPr>
      </w:pPr>
      <w:r w:rsidRPr="00075A9D">
        <w:rPr>
          <w:sz w:val="24"/>
          <w:szCs w:val="24"/>
        </w:rPr>
        <w:t xml:space="preserve">The longtime follow-up: In </w:t>
      </w:r>
      <w:r w:rsidRPr="00075A9D">
        <w:rPr>
          <w:i/>
          <w:sz w:val="24"/>
          <w:szCs w:val="24"/>
        </w:rPr>
        <w:t>function</w:t>
      </w:r>
      <w:r w:rsidRPr="00075A9D">
        <w:rPr>
          <w:sz w:val="24"/>
          <w:szCs w:val="24"/>
        </w:rPr>
        <w:t xml:space="preserve">: The good result rised up to 20 patients (100%). In </w:t>
      </w:r>
      <w:r w:rsidRPr="00075A9D">
        <w:rPr>
          <w:i/>
          <w:sz w:val="24"/>
          <w:szCs w:val="24"/>
        </w:rPr>
        <w:t>Anatomical aspect - Aesthetic result</w:t>
      </w:r>
      <w:r w:rsidRPr="00075A9D">
        <w:rPr>
          <w:sz w:val="24"/>
          <w:szCs w:val="24"/>
        </w:rPr>
        <w:t>: 14 patients (70%) were good mean while 6 patients (30%) with fair result.</w:t>
      </w:r>
    </w:p>
    <w:p w:rsidR="00075A9D" w:rsidRPr="00075A9D" w:rsidRDefault="00075A9D" w:rsidP="00075A9D">
      <w:pPr>
        <w:spacing w:line="276" w:lineRule="auto"/>
        <w:ind w:firstLine="360"/>
        <w:contextualSpacing/>
        <w:jc w:val="both"/>
        <w:rPr>
          <w:spacing w:val="-4"/>
          <w:sz w:val="24"/>
          <w:szCs w:val="24"/>
          <w:lang w:val="vi-VN"/>
        </w:rPr>
      </w:pPr>
      <w:r w:rsidRPr="00075A9D">
        <w:rPr>
          <w:b/>
          <w:i/>
          <w:spacing w:val="-4"/>
          <w:sz w:val="24"/>
          <w:szCs w:val="24"/>
        </w:rPr>
        <w:t>Keywords:</w:t>
      </w:r>
      <w:r w:rsidRPr="00075A9D">
        <w:rPr>
          <w:spacing w:val="-4"/>
          <w:sz w:val="24"/>
          <w:szCs w:val="24"/>
        </w:rPr>
        <w:t xml:space="preserve"> Midface fractures; Orbital floor fractures</w:t>
      </w:r>
    </w:p>
    <w:p w:rsidR="008256DB" w:rsidRDefault="008256DB"/>
    <w:sectPr w:rsidR="008256DB" w:rsidSect="00075A9D">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B7" w:rsidRDefault="00D94EB7" w:rsidP="00075A9D">
      <w:r>
        <w:separator/>
      </w:r>
    </w:p>
  </w:endnote>
  <w:endnote w:type="continuationSeparator" w:id="0">
    <w:p w:rsidR="00D94EB7" w:rsidRDefault="00D94EB7" w:rsidP="0007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B7" w:rsidRDefault="00D94EB7" w:rsidP="00075A9D">
      <w:r>
        <w:separator/>
      </w:r>
    </w:p>
  </w:footnote>
  <w:footnote w:type="continuationSeparator" w:id="0">
    <w:p w:rsidR="00D94EB7" w:rsidRDefault="00D94EB7" w:rsidP="00075A9D">
      <w:r>
        <w:continuationSeparator/>
      </w:r>
    </w:p>
  </w:footnote>
  <w:footnote w:id="1">
    <w:p w:rsidR="00075A9D" w:rsidRPr="00452E7A" w:rsidRDefault="00075A9D" w:rsidP="00075A9D">
      <w:pPr>
        <w:contextualSpacing/>
        <w:jc w:val="both"/>
        <w:rPr>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8C"/>
    <w:rsid w:val="00075A9D"/>
    <w:rsid w:val="008256DB"/>
    <w:rsid w:val="00D94EB7"/>
    <w:rsid w:val="00F33E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B12C-8E89-4AC8-800B-914C75CD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9D"/>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075A9D"/>
    <w:rPr>
      <w:vertAlign w:val="superscript"/>
    </w:rPr>
  </w:style>
  <w:style w:type="paragraph" w:styleId="Title">
    <w:name w:val="Title"/>
    <w:aliases w:val="DIEU1"/>
    <w:basedOn w:val="Normal"/>
    <w:link w:val="TitleChar2"/>
    <w:qFormat/>
    <w:rsid w:val="00075A9D"/>
    <w:pPr>
      <w:overflowPunct/>
      <w:autoSpaceDE/>
      <w:autoSpaceDN/>
      <w:adjustRightInd/>
      <w:jc w:val="center"/>
      <w:textAlignment w:val="auto"/>
    </w:pPr>
    <w:rPr>
      <w:rFonts w:ascii=".VnTimeH" w:hAnsi=".VnTimeH"/>
      <w:sz w:val="36"/>
    </w:rPr>
  </w:style>
  <w:style w:type="character" w:customStyle="1" w:styleId="TitleChar">
    <w:name w:val="Title Char"/>
    <w:basedOn w:val="DefaultParagraphFont"/>
    <w:uiPriority w:val="10"/>
    <w:rsid w:val="00075A9D"/>
    <w:rPr>
      <w:rFonts w:asciiTheme="majorHAnsi" w:eastAsiaTheme="majorEastAsia" w:hAnsiTheme="majorHAnsi" w:cstheme="majorBidi"/>
      <w:spacing w:val="-10"/>
      <w:kern w:val="28"/>
      <w:sz w:val="56"/>
      <w:szCs w:val="56"/>
      <w:lang w:val="en-US"/>
    </w:rPr>
  </w:style>
  <w:style w:type="character" w:customStyle="1" w:styleId="TitleChar2">
    <w:name w:val="Title Char2"/>
    <w:aliases w:val="DIEU1 Char"/>
    <w:link w:val="Title"/>
    <w:locked/>
    <w:rsid w:val="00075A9D"/>
    <w:rPr>
      <w:rFonts w:ascii=".VnTimeH" w:eastAsia="Times New Roman" w:hAnsi=".VnTimeH" w:cs="Tahoma"/>
      <w:color w:val="000000"/>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2015-08-17T03:04:00Z</dcterms:created>
  <dcterms:modified xsi:type="dcterms:W3CDTF">2015-08-17T03:05:00Z</dcterms:modified>
</cp:coreProperties>
</file>