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9A" w:rsidRPr="00C71B31" w:rsidRDefault="002E199A" w:rsidP="002E199A">
      <w:pPr>
        <w:contextualSpacing/>
        <w:jc w:val="center"/>
        <w:rPr>
          <w:rFonts w:ascii="Cambria" w:hAnsi="Cambria" w:cs="Tahoma"/>
          <w:b/>
          <w:bCs/>
          <w:sz w:val="28"/>
        </w:rPr>
      </w:pPr>
      <w:r w:rsidRPr="00C71B31">
        <w:rPr>
          <w:rFonts w:ascii="Cambria" w:hAnsi="Cambria" w:cs="Tahoma"/>
          <w:b/>
          <w:bCs/>
          <w:sz w:val="28"/>
        </w:rPr>
        <w:t>NGHIÊN CỨU MỘT SỐ ĐẶC ĐIỂM LÂM SÀNG, XÉT NGHIỆM</w:t>
      </w:r>
    </w:p>
    <w:p w:rsidR="002E199A" w:rsidRPr="00C71B31" w:rsidRDefault="002E199A" w:rsidP="002E199A">
      <w:pPr>
        <w:contextualSpacing/>
        <w:jc w:val="center"/>
        <w:rPr>
          <w:rFonts w:ascii="Cambria" w:hAnsi="Cambria" w:cs="Tahoma"/>
          <w:b/>
          <w:bCs/>
          <w:sz w:val="28"/>
        </w:rPr>
      </w:pPr>
      <w:r w:rsidRPr="00C71B31">
        <w:rPr>
          <w:rFonts w:ascii="Cambria" w:hAnsi="Cambria" w:cs="Tahoma"/>
          <w:b/>
          <w:bCs/>
          <w:sz w:val="28"/>
        </w:rPr>
        <w:t>CỦA BỆNH NHÂN XƠ TỦY NGUYÊN PHÁT</w:t>
      </w:r>
    </w:p>
    <w:p w:rsidR="002E199A" w:rsidRDefault="002E199A" w:rsidP="002E199A">
      <w:pPr>
        <w:contextualSpacing/>
        <w:jc w:val="both"/>
        <w:rPr>
          <w:rFonts w:ascii="Tahoma" w:hAnsi="Tahoma" w:cs="Tahoma"/>
          <w:i/>
          <w:iCs/>
          <w:sz w:val="20"/>
        </w:rPr>
      </w:pPr>
    </w:p>
    <w:p w:rsidR="002E199A" w:rsidRPr="008E3A18" w:rsidRDefault="002E199A" w:rsidP="002E199A">
      <w:pPr>
        <w:contextualSpacing/>
        <w:jc w:val="right"/>
        <w:rPr>
          <w:rFonts w:ascii="Times New Roman" w:hAnsi="Times New Roman"/>
          <w:b/>
          <w:iCs/>
        </w:rPr>
      </w:pPr>
      <w:r w:rsidRPr="008E3A18">
        <w:rPr>
          <w:rFonts w:ascii="Times New Roman" w:hAnsi="Times New Roman"/>
          <w:b/>
          <w:iCs/>
        </w:rPr>
        <w:t xml:space="preserve">Nguyễn Vũ Bảo Anh*, Nguyễn Hà Thanh*, </w:t>
      </w:r>
    </w:p>
    <w:p w:rsidR="002E199A" w:rsidRPr="008E3A18" w:rsidRDefault="002E199A" w:rsidP="002E199A">
      <w:pPr>
        <w:contextualSpacing/>
        <w:jc w:val="right"/>
        <w:rPr>
          <w:rFonts w:ascii="Times New Roman" w:hAnsi="Times New Roman"/>
          <w:b/>
          <w:iCs/>
        </w:rPr>
      </w:pPr>
      <w:r w:rsidRPr="008E3A18">
        <w:rPr>
          <w:rFonts w:ascii="Times New Roman" w:hAnsi="Times New Roman"/>
          <w:b/>
          <w:iCs/>
        </w:rPr>
        <w:t>Vũ Đức Bình**, Nguyễn Ngọc Dũng**</w:t>
      </w:r>
    </w:p>
    <w:p w:rsidR="002E199A" w:rsidRPr="002E199A" w:rsidRDefault="002E199A" w:rsidP="002E199A">
      <w:pPr>
        <w:spacing w:line="276" w:lineRule="auto"/>
        <w:contextualSpacing/>
        <w:jc w:val="both"/>
        <w:rPr>
          <w:rFonts w:ascii="Calibri" w:hAnsi="Calibri" w:cs="Calibri"/>
          <w:b/>
          <w:bCs/>
          <w:szCs w:val="24"/>
        </w:rPr>
      </w:pPr>
      <w:r w:rsidRPr="002E199A">
        <w:rPr>
          <w:rFonts w:ascii="Calibri" w:hAnsi="Calibri" w:cs="Calibri"/>
          <w:b/>
          <w:bCs/>
          <w:szCs w:val="24"/>
        </w:rPr>
        <w:t>TÓM TẮT</w:t>
      </w:r>
      <w:r w:rsidRPr="002E199A">
        <w:rPr>
          <w:rStyle w:val="FootnoteReference"/>
          <w:rFonts w:ascii="Calibri" w:hAnsi="Calibri" w:cs="Calibri"/>
          <w:b/>
          <w:bCs/>
          <w:szCs w:val="24"/>
        </w:rPr>
        <w:footnoteReference w:id="1"/>
      </w:r>
    </w:p>
    <w:p w:rsidR="002E199A" w:rsidRPr="002E199A" w:rsidRDefault="002E199A" w:rsidP="002E199A">
      <w:pPr>
        <w:spacing w:line="276" w:lineRule="auto"/>
        <w:ind w:firstLine="360"/>
        <w:contextualSpacing/>
        <w:jc w:val="both"/>
        <w:rPr>
          <w:rFonts w:ascii="Tahoma" w:hAnsi="Tahoma" w:cs="Tahoma"/>
          <w:szCs w:val="24"/>
        </w:rPr>
      </w:pPr>
      <w:r w:rsidRPr="002E199A">
        <w:rPr>
          <w:rFonts w:ascii="Tahoma" w:hAnsi="Tahoma" w:cs="Tahoma"/>
          <w:b/>
          <w:bCs/>
          <w:szCs w:val="24"/>
        </w:rPr>
        <w:t>Mục tiêu</w:t>
      </w:r>
      <w:r w:rsidRPr="002E199A">
        <w:rPr>
          <w:rFonts w:ascii="Tahoma" w:hAnsi="Tahoma" w:cs="Tahoma"/>
          <w:szCs w:val="24"/>
        </w:rPr>
        <w:t xml:space="preserve">: Nghiên cứu một số đặc điểm lâm sàng, xét nghiệm tế bào máu ngoại vi, tổ chức học tủy xương và đột biến gen JAK2V617F ở bệnh nhân Xơ tủy nguyên phát tại Viện Huyết Học Truyền Máu Trung Ương. </w:t>
      </w:r>
      <w:r w:rsidRPr="002E199A">
        <w:rPr>
          <w:rFonts w:ascii="Tahoma" w:hAnsi="Tahoma" w:cs="Tahoma"/>
          <w:b/>
          <w:bCs/>
          <w:szCs w:val="24"/>
        </w:rPr>
        <w:t>Đối tượng và phương pháp nghiên cứu</w:t>
      </w:r>
      <w:r w:rsidRPr="002E199A">
        <w:rPr>
          <w:rFonts w:ascii="Tahoma" w:hAnsi="Tahoma" w:cs="Tahoma"/>
          <w:szCs w:val="24"/>
        </w:rPr>
        <w:t xml:space="preserve">: gồm 31 bệnh nhân được chẩn đoán Xơ tủy nguyên phát theo tiêu chuẩn của WHO 2008 điều trị tại Viện Huyết Học Truyền Máu Trung Ương từ 01/2012 đến 01/2014. Thiết kế nghiên cứu mô tả cắt ngang. </w:t>
      </w:r>
      <w:r w:rsidRPr="002E199A">
        <w:rPr>
          <w:rFonts w:ascii="Tahoma" w:hAnsi="Tahoma" w:cs="Tahoma"/>
          <w:b/>
          <w:bCs/>
          <w:szCs w:val="24"/>
        </w:rPr>
        <w:t>Kết quả và kết luận</w:t>
      </w:r>
      <w:r w:rsidRPr="002E199A">
        <w:rPr>
          <w:rFonts w:ascii="Tahoma" w:hAnsi="Tahoma" w:cs="Tahoma"/>
          <w:szCs w:val="24"/>
        </w:rPr>
        <w:t>: Tuổi trung bình là 66.8, tỷ lệ nam/nữ là 0.72:1. Thiếu máu (81.6%), gan to (78.5%), lách to (95.5%), lách to độ IV chiếm 35.2%. Phần lớn bệnh nhân có lượng Hb giảm kèm theo rối loạn hình thái HC máu ngoại vi, có hồng cầu non và tuổi trung gian dòng bạch cầu hạt ra máu ngoại vi. Phần lớn bệnh nhân có tăng sinh mạnh các sợi xơ (71%) kèm theo tăng sinh (74%) và rối loạn hình thái mẫu TC (83%).</w:t>
      </w:r>
    </w:p>
    <w:p w:rsidR="002E199A" w:rsidRPr="002E199A" w:rsidRDefault="002E199A" w:rsidP="002E199A">
      <w:pPr>
        <w:spacing w:line="276" w:lineRule="auto"/>
        <w:ind w:firstLine="360"/>
        <w:contextualSpacing/>
        <w:jc w:val="both"/>
        <w:rPr>
          <w:rFonts w:ascii="Tahoma" w:hAnsi="Tahoma" w:cs="Tahoma"/>
          <w:szCs w:val="24"/>
        </w:rPr>
      </w:pPr>
      <w:r w:rsidRPr="002E199A">
        <w:rPr>
          <w:rFonts w:ascii="Tahoma" w:hAnsi="Tahoma" w:cs="Tahoma"/>
          <w:b/>
          <w:bCs/>
          <w:i/>
          <w:szCs w:val="24"/>
        </w:rPr>
        <w:t>Từ khóa</w:t>
      </w:r>
      <w:r w:rsidRPr="002E199A">
        <w:rPr>
          <w:rFonts w:ascii="Tahoma" w:hAnsi="Tahoma" w:cs="Tahoma"/>
          <w:b/>
          <w:i/>
          <w:szCs w:val="24"/>
        </w:rPr>
        <w:t>:</w:t>
      </w:r>
      <w:r w:rsidRPr="002E199A">
        <w:rPr>
          <w:rFonts w:ascii="Tahoma" w:hAnsi="Tahoma" w:cs="Tahoma"/>
          <w:szCs w:val="24"/>
        </w:rPr>
        <w:t xml:space="preserve"> Xơ tủy nguyên phát, Tăng sinh tủy mạn ác tính.</w:t>
      </w:r>
    </w:p>
    <w:p w:rsidR="002E199A" w:rsidRPr="002E199A" w:rsidRDefault="002E199A" w:rsidP="002E199A">
      <w:pPr>
        <w:spacing w:line="276" w:lineRule="auto"/>
        <w:contextualSpacing/>
        <w:jc w:val="both"/>
        <w:rPr>
          <w:rFonts w:ascii="Tahoma" w:hAnsi="Tahoma" w:cs="Tahoma"/>
          <w:b/>
          <w:bCs/>
          <w:szCs w:val="24"/>
        </w:rPr>
      </w:pPr>
    </w:p>
    <w:p w:rsidR="002E199A" w:rsidRPr="002E199A" w:rsidRDefault="002E199A" w:rsidP="002E199A">
      <w:pPr>
        <w:spacing w:line="276" w:lineRule="auto"/>
        <w:contextualSpacing/>
        <w:jc w:val="both"/>
        <w:rPr>
          <w:rFonts w:ascii="Calibri" w:hAnsi="Calibri" w:cs="Calibri"/>
          <w:b/>
          <w:bCs/>
          <w:szCs w:val="24"/>
        </w:rPr>
      </w:pPr>
      <w:r w:rsidRPr="002E199A">
        <w:rPr>
          <w:rFonts w:ascii="Calibri" w:hAnsi="Calibri" w:cs="Calibri"/>
          <w:b/>
          <w:bCs/>
          <w:szCs w:val="24"/>
        </w:rPr>
        <w:t>SUMMARY</w:t>
      </w:r>
    </w:p>
    <w:p w:rsidR="002E199A" w:rsidRPr="002E199A" w:rsidRDefault="002E199A" w:rsidP="002E199A">
      <w:pPr>
        <w:spacing w:line="276" w:lineRule="auto"/>
        <w:contextualSpacing/>
        <w:jc w:val="center"/>
        <w:rPr>
          <w:rFonts w:ascii="Tahoma" w:hAnsi="Tahoma" w:cs="Tahoma"/>
          <w:b/>
          <w:bCs/>
          <w:szCs w:val="24"/>
        </w:rPr>
      </w:pPr>
      <w:r w:rsidRPr="002E199A">
        <w:rPr>
          <w:rFonts w:ascii="Tahoma" w:hAnsi="Tahoma" w:cs="Tahoma"/>
          <w:b/>
          <w:bCs/>
          <w:szCs w:val="24"/>
        </w:rPr>
        <w:t>STUDY ON THE CLINICAL AND LABORATORY FEATURES OF PATIENTS WITH PRIMARY MYELOFIBROSIS</w:t>
      </w:r>
    </w:p>
    <w:p w:rsidR="002E199A" w:rsidRPr="002E199A" w:rsidRDefault="002E199A" w:rsidP="002E199A">
      <w:pPr>
        <w:spacing w:line="276" w:lineRule="auto"/>
        <w:ind w:firstLine="360"/>
        <w:contextualSpacing/>
        <w:jc w:val="both"/>
        <w:rPr>
          <w:rFonts w:ascii="Tahoma" w:hAnsi="Tahoma" w:cs="Tahoma"/>
          <w:szCs w:val="24"/>
        </w:rPr>
      </w:pPr>
      <w:r w:rsidRPr="002E199A">
        <w:rPr>
          <w:rFonts w:ascii="Tahoma" w:hAnsi="Tahoma" w:cs="Tahoma"/>
          <w:b/>
          <w:bCs/>
          <w:szCs w:val="24"/>
        </w:rPr>
        <w:t>Objective</w:t>
      </w:r>
      <w:r w:rsidRPr="002E199A">
        <w:rPr>
          <w:rFonts w:ascii="Tahoma" w:hAnsi="Tahoma" w:cs="Tahoma"/>
          <w:szCs w:val="24"/>
        </w:rPr>
        <w:t xml:space="preserve">: To study the clinical features and characteristic of peripheral blood, bone marrow and JAK2V617F mutation status of primary myelofibrosis patients in National Institute of Hematology and Blood Transfusion. </w:t>
      </w:r>
      <w:r w:rsidRPr="002E199A">
        <w:rPr>
          <w:rFonts w:ascii="Tahoma" w:hAnsi="Tahoma" w:cs="Tahoma"/>
          <w:b/>
          <w:bCs/>
          <w:szCs w:val="24"/>
        </w:rPr>
        <w:t>Patients and methods</w:t>
      </w:r>
      <w:r w:rsidRPr="002E199A">
        <w:rPr>
          <w:rFonts w:ascii="Tahoma" w:hAnsi="Tahoma" w:cs="Tahoma"/>
          <w:szCs w:val="24"/>
        </w:rPr>
        <w:t xml:space="preserve">: a descriptive study carry out 31 patients with primary myelofibrosis according to WHO 2008 criteria was diagnosed and treated in NIHBT from January, 2012 to January, 2014. </w:t>
      </w:r>
      <w:r w:rsidRPr="002E199A">
        <w:rPr>
          <w:rFonts w:ascii="Tahoma" w:hAnsi="Tahoma" w:cs="Tahoma"/>
          <w:b/>
          <w:bCs/>
          <w:szCs w:val="24"/>
        </w:rPr>
        <w:t>Results and conclusion</w:t>
      </w:r>
      <w:r w:rsidRPr="002E199A">
        <w:rPr>
          <w:rFonts w:ascii="Tahoma" w:hAnsi="Tahoma" w:cs="Tahoma"/>
          <w:szCs w:val="24"/>
        </w:rPr>
        <w:t>: median age is 66.8, the male to female ratio is 0.72:1. Clinical features include: anemia (81.6%), hepatomegaly (78.5%), splenomegaly (95.5%) with stage IV is 35.2%. Almost all patients have low Hb level and peripheral blood smear show anisocytosis, poikilocytosis, immature cells of the granulocytes, nucleated red cell. 71% patients increased fibrosis extensively, presence of megakaryocyte proliferation (74%) and abnormal shape (83%).</w:t>
      </w:r>
    </w:p>
    <w:p w:rsidR="002E199A" w:rsidRPr="002E199A" w:rsidRDefault="002E199A" w:rsidP="002E199A">
      <w:pPr>
        <w:spacing w:line="276" w:lineRule="auto"/>
        <w:ind w:firstLine="360"/>
        <w:contextualSpacing/>
        <w:jc w:val="both"/>
        <w:rPr>
          <w:rFonts w:ascii="Tahoma" w:hAnsi="Tahoma" w:cs="Tahoma"/>
          <w:szCs w:val="24"/>
        </w:rPr>
      </w:pPr>
      <w:r w:rsidRPr="002E199A">
        <w:rPr>
          <w:rFonts w:ascii="Tahoma" w:hAnsi="Tahoma" w:cs="Tahoma"/>
          <w:b/>
          <w:bCs/>
          <w:i/>
          <w:szCs w:val="24"/>
        </w:rPr>
        <w:t>Keywords</w:t>
      </w:r>
      <w:r w:rsidRPr="002E199A">
        <w:rPr>
          <w:rFonts w:ascii="Tahoma" w:hAnsi="Tahoma" w:cs="Tahoma"/>
          <w:b/>
          <w:i/>
          <w:szCs w:val="24"/>
        </w:rPr>
        <w:t>:</w:t>
      </w:r>
      <w:r w:rsidRPr="002E199A">
        <w:rPr>
          <w:rFonts w:ascii="Tahoma" w:hAnsi="Tahoma" w:cs="Tahoma"/>
          <w:szCs w:val="24"/>
        </w:rPr>
        <w:t xml:space="preserve"> Primary myelofibrosis, Myeloproliferative neoplasms.</w:t>
      </w:r>
    </w:p>
    <w:p w:rsidR="002153BD" w:rsidRPr="002E199A" w:rsidRDefault="002153BD" w:rsidP="002E199A">
      <w:pPr>
        <w:spacing w:line="276" w:lineRule="auto"/>
        <w:rPr>
          <w:szCs w:val="24"/>
        </w:rPr>
      </w:pPr>
    </w:p>
    <w:sectPr w:rsidR="002153BD" w:rsidRPr="002E199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29" w:rsidRDefault="00D20229" w:rsidP="002E199A">
      <w:r>
        <w:separator/>
      </w:r>
    </w:p>
  </w:endnote>
  <w:endnote w:type="continuationSeparator" w:id="0">
    <w:p w:rsidR="00D20229" w:rsidRDefault="00D20229" w:rsidP="002E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29" w:rsidRDefault="00D20229" w:rsidP="002E199A">
      <w:r>
        <w:separator/>
      </w:r>
    </w:p>
  </w:footnote>
  <w:footnote w:type="continuationSeparator" w:id="0">
    <w:p w:rsidR="00D20229" w:rsidRDefault="00D20229" w:rsidP="002E199A">
      <w:r>
        <w:continuationSeparator/>
      </w:r>
    </w:p>
  </w:footnote>
  <w:footnote w:id="1">
    <w:p w:rsidR="002E199A" w:rsidRDefault="002E199A" w:rsidP="002E199A">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EB"/>
    <w:rsid w:val="000806EB"/>
    <w:rsid w:val="002153BD"/>
    <w:rsid w:val="002E199A"/>
    <w:rsid w:val="00D20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A32C70-DA51-4C1F-887A-449E9B0B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9A"/>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uiPriority w:val="99"/>
    <w:rsid w:val="002E199A"/>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E199A"/>
    <w:rPr>
      <w:rFonts w:ascii=".VnTime" w:eastAsia="Times New Roman" w:hAnsi=".VnTime" w:cs="Times New Roman"/>
      <w:sz w:val="24"/>
      <w:szCs w:val="20"/>
      <w:lang w:val="en-US"/>
    </w:rPr>
  </w:style>
  <w:style w:type="character" w:customStyle="1" w:styleId="FooterChar2">
    <w:name w:val="Footer Char2"/>
    <w:aliases w:val="FooterQ Char"/>
    <w:link w:val="Footer"/>
    <w:uiPriority w:val="99"/>
    <w:rsid w:val="002E199A"/>
    <w:rPr>
      <w:rFonts w:ascii=".VnTime" w:eastAsia="Times New Roman" w:hAnsi=".VnTime" w:cs="Times New Roman"/>
      <w:sz w:val="28"/>
      <w:szCs w:val="28"/>
      <w:lang w:val="en-US"/>
    </w:rPr>
  </w:style>
  <w:style w:type="character" w:styleId="Hyperlink">
    <w:name w:val="Hyperlink"/>
    <w:rsid w:val="002E199A"/>
    <w:rPr>
      <w:color w:val="0000FF"/>
      <w:u w:val="single"/>
    </w:rPr>
  </w:style>
  <w:style w:type="character" w:styleId="FootnoteReference">
    <w:name w:val="footnote reference"/>
    <w:aliases w:val="Footnote,Footnote + Arial,10 pt,Black,ftref,(NECG) Footnote Reference,16 Point,Superscript 6 Point"/>
    <w:uiPriority w:val="99"/>
    <w:semiHidden/>
    <w:rsid w:val="002E1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2015-08-20T02:26:00Z</dcterms:created>
  <dcterms:modified xsi:type="dcterms:W3CDTF">2015-08-20T02:26:00Z</dcterms:modified>
</cp:coreProperties>
</file>