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EF" w:rsidRPr="005B06BA" w:rsidRDefault="00700BEF" w:rsidP="00700BEF">
      <w:pPr>
        <w:contextualSpacing/>
        <w:jc w:val="center"/>
        <w:rPr>
          <w:rFonts w:ascii="Cambria" w:hAnsi="Cambria" w:cs="Tahoma"/>
          <w:b/>
          <w:sz w:val="28"/>
        </w:rPr>
      </w:pPr>
      <w:r w:rsidRPr="005B06BA">
        <w:rPr>
          <w:rFonts w:ascii="Cambria" w:hAnsi="Cambria" w:cs="Tahoma"/>
          <w:b/>
          <w:sz w:val="28"/>
        </w:rPr>
        <w:t>ỨNG DỤNG NẸP VÍT CÓ KHÓA TRONG ĐIỀU TRỊ PHẪU THUẬT</w:t>
      </w:r>
    </w:p>
    <w:p w:rsidR="00700BEF" w:rsidRPr="005B06BA" w:rsidRDefault="00700BEF" w:rsidP="00700BEF">
      <w:pPr>
        <w:contextualSpacing/>
        <w:jc w:val="center"/>
        <w:rPr>
          <w:rFonts w:ascii="Cambria" w:hAnsi="Cambria" w:cs="Tahoma"/>
          <w:b/>
          <w:sz w:val="28"/>
        </w:rPr>
      </w:pPr>
      <w:r w:rsidRPr="005B06BA">
        <w:rPr>
          <w:rFonts w:ascii="Cambria" w:hAnsi="Cambria" w:cs="Tahoma"/>
          <w:b/>
          <w:sz w:val="28"/>
        </w:rPr>
        <w:t>GÃY MÂM CHÀY PHỨC TẠP TẠI BỆNH VIỆN VIỆT ĐỨC</w:t>
      </w:r>
    </w:p>
    <w:p w:rsidR="00700BEF" w:rsidRDefault="00700BEF" w:rsidP="00700BEF">
      <w:pPr>
        <w:contextualSpacing/>
        <w:jc w:val="both"/>
        <w:rPr>
          <w:rFonts w:ascii="Tahoma" w:hAnsi="Tahoma" w:cs="Tahoma"/>
          <w:b/>
          <w:sz w:val="20"/>
        </w:rPr>
      </w:pPr>
    </w:p>
    <w:p w:rsidR="00700BEF" w:rsidRPr="0071278C" w:rsidRDefault="00700BEF" w:rsidP="00700BEF">
      <w:pPr>
        <w:contextualSpacing/>
        <w:jc w:val="right"/>
        <w:rPr>
          <w:rFonts w:ascii="Times New Roman" w:hAnsi="Times New Roman"/>
          <w:b/>
        </w:rPr>
      </w:pPr>
      <w:r w:rsidRPr="0071278C">
        <w:rPr>
          <w:rFonts w:ascii="Times New Roman" w:hAnsi="Times New Roman"/>
          <w:b/>
        </w:rPr>
        <w:t>Nguyễn Mạnh Khánh*, Nguyễn Tiến Ngọc*</w:t>
      </w:r>
    </w:p>
    <w:p w:rsidR="00700BEF" w:rsidRPr="00700BEF" w:rsidRDefault="00700BEF" w:rsidP="00700BEF">
      <w:pPr>
        <w:spacing w:line="276" w:lineRule="auto"/>
        <w:contextualSpacing/>
        <w:jc w:val="both"/>
        <w:rPr>
          <w:rFonts w:ascii="Calibri" w:hAnsi="Calibri" w:cs="Calibri"/>
          <w:b/>
          <w:szCs w:val="24"/>
        </w:rPr>
      </w:pPr>
      <w:r w:rsidRPr="00700BEF">
        <w:rPr>
          <w:rFonts w:ascii="Calibri" w:hAnsi="Calibri" w:cs="Calibri"/>
          <w:b/>
          <w:szCs w:val="24"/>
        </w:rPr>
        <w:t>TÓM TẮT</w:t>
      </w:r>
      <w:r w:rsidRPr="00700BEF">
        <w:rPr>
          <w:rStyle w:val="FootnoteReference"/>
          <w:rFonts w:ascii="Calibri" w:hAnsi="Calibri" w:cs="Calibri"/>
          <w:b/>
          <w:szCs w:val="24"/>
        </w:rPr>
        <w:footnoteReference w:id="1"/>
      </w:r>
    </w:p>
    <w:p w:rsidR="00700BEF" w:rsidRPr="00700BEF" w:rsidRDefault="00700BEF" w:rsidP="00700BEF">
      <w:pPr>
        <w:spacing w:line="276" w:lineRule="auto"/>
        <w:ind w:firstLine="360"/>
        <w:contextualSpacing/>
        <w:jc w:val="both"/>
        <w:rPr>
          <w:rFonts w:ascii="Tahoma" w:hAnsi="Tahoma" w:cs="Tahoma"/>
          <w:szCs w:val="24"/>
        </w:rPr>
      </w:pPr>
      <w:r w:rsidRPr="00700BEF">
        <w:rPr>
          <w:rFonts w:ascii="Tahoma" w:hAnsi="Tahoma" w:cs="Tahoma"/>
          <w:b/>
          <w:szCs w:val="24"/>
        </w:rPr>
        <w:t>Mục tiêu</w:t>
      </w:r>
      <w:r w:rsidRPr="00700BEF">
        <w:rPr>
          <w:rFonts w:ascii="Tahoma" w:hAnsi="Tahoma" w:cs="Tahoma"/>
          <w:szCs w:val="24"/>
        </w:rPr>
        <w:t xml:space="preserve">: đánh giá kết quả ban đầu phẫu thuật gãy kín mâm chày phức tạp bằng kết hợp xương nẹp vít có khóa. </w:t>
      </w:r>
      <w:r w:rsidRPr="00700BEF">
        <w:rPr>
          <w:rFonts w:ascii="Tahoma" w:hAnsi="Tahoma" w:cs="Tahoma"/>
          <w:b/>
          <w:szCs w:val="24"/>
        </w:rPr>
        <w:t>Đối tượng và phương pháp nghiên cứu</w:t>
      </w:r>
      <w:r w:rsidRPr="00700BEF">
        <w:rPr>
          <w:rFonts w:ascii="Tahoma" w:hAnsi="Tahoma" w:cs="Tahoma"/>
          <w:szCs w:val="24"/>
        </w:rPr>
        <w:t>: mô tả hồi cứu 55 bệnh nhân gãy kín mâm chày phức tạp (</w:t>
      </w:r>
      <w:bookmarkStart w:id="0" w:name="_GoBack"/>
      <w:bookmarkEnd w:id="0"/>
      <w:r w:rsidRPr="00700BEF">
        <w:rPr>
          <w:rFonts w:ascii="Tahoma" w:hAnsi="Tahoma" w:cs="Tahoma"/>
          <w:szCs w:val="24"/>
        </w:rPr>
        <w:t xml:space="preserve">Schatzker V,VI) được kết hợp xương bằng nẹp vít có khóa tại Viện CTCH, BV Việt Đức từ 6/2013 đến 4/2015. </w:t>
      </w:r>
      <w:r w:rsidRPr="00700BEF">
        <w:rPr>
          <w:rFonts w:ascii="Tahoma" w:hAnsi="Tahoma" w:cs="Tahoma"/>
          <w:b/>
          <w:szCs w:val="24"/>
        </w:rPr>
        <w:t>Kết quả nghiên cứu</w:t>
      </w:r>
      <w:r w:rsidRPr="00700BEF">
        <w:rPr>
          <w:rFonts w:ascii="Tahoma" w:hAnsi="Tahoma" w:cs="Tahoma"/>
          <w:szCs w:val="24"/>
        </w:rPr>
        <w:t>: Có 1 trường hợp không liền vết mổ. Kết quả gần 54/55 BN tốt và khá, nắn chỉnh 100% đạt yêu cầu. Kết quả xa 48/55 BN gấp gối trên 90</w:t>
      </w:r>
      <w:r w:rsidRPr="00700BEF">
        <w:rPr>
          <w:rFonts w:ascii="Tahoma" w:hAnsi="Tahoma" w:cs="Tahoma"/>
          <w:szCs w:val="24"/>
          <w:vertAlign w:val="superscript"/>
        </w:rPr>
        <w:t>0</w:t>
      </w:r>
      <w:r w:rsidRPr="00700BEF">
        <w:rPr>
          <w:rFonts w:ascii="Tahoma" w:hAnsi="Tahoma" w:cs="Tahoma"/>
          <w:szCs w:val="24"/>
        </w:rPr>
        <w:t xml:space="preserve">, gặp 3 trường hợp gãy nẹp. </w:t>
      </w:r>
      <w:r w:rsidRPr="00700BEF">
        <w:rPr>
          <w:rFonts w:ascii="Tahoma" w:hAnsi="Tahoma" w:cs="Tahoma"/>
          <w:b/>
          <w:szCs w:val="24"/>
        </w:rPr>
        <w:t>Kết luận</w:t>
      </w:r>
      <w:r w:rsidRPr="00700BEF">
        <w:rPr>
          <w:rFonts w:ascii="Tahoma" w:hAnsi="Tahoma" w:cs="Tahoma"/>
          <w:szCs w:val="24"/>
        </w:rPr>
        <w:t>: bước đầu cho thấy phẫu thuật gãy kín mâm chày phức tạp bằng nẹp vít có khóa cho kết quả khả quan, giúp nắn chỉnh và cố định ổ gãy vững chắc.</w:t>
      </w:r>
    </w:p>
    <w:p w:rsidR="00700BEF" w:rsidRPr="00700BEF" w:rsidRDefault="00700BEF" w:rsidP="00700BEF">
      <w:pPr>
        <w:spacing w:line="276" w:lineRule="auto"/>
        <w:ind w:firstLine="360"/>
        <w:contextualSpacing/>
        <w:jc w:val="both"/>
        <w:rPr>
          <w:rFonts w:ascii="Tahoma" w:hAnsi="Tahoma" w:cs="Tahoma"/>
          <w:szCs w:val="24"/>
        </w:rPr>
      </w:pPr>
      <w:r w:rsidRPr="00700BEF">
        <w:rPr>
          <w:rFonts w:ascii="Tahoma" w:hAnsi="Tahoma" w:cs="Tahoma"/>
          <w:b/>
          <w:i/>
          <w:szCs w:val="24"/>
        </w:rPr>
        <w:t>Từ khóa:</w:t>
      </w:r>
      <w:r w:rsidRPr="00700BEF">
        <w:rPr>
          <w:rFonts w:ascii="Tahoma" w:hAnsi="Tahoma" w:cs="Tahoma"/>
          <w:szCs w:val="24"/>
        </w:rPr>
        <w:t xml:space="preserve"> gãy mâm chày, nẹp vít khóa. </w:t>
      </w:r>
    </w:p>
    <w:p w:rsidR="00700BEF" w:rsidRPr="00700BEF" w:rsidRDefault="00700BEF" w:rsidP="00700BEF">
      <w:pPr>
        <w:spacing w:line="276" w:lineRule="auto"/>
        <w:contextualSpacing/>
        <w:jc w:val="both"/>
        <w:rPr>
          <w:rFonts w:ascii="Tahoma" w:hAnsi="Tahoma" w:cs="Tahoma"/>
          <w:b/>
          <w:szCs w:val="24"/>
        </w:rPr>
      </w:pPr>
    </w:p>
    <w:p w:rsidR="00700BEF" w:rsidRPr="00700BEF" w:rsidRDefault="00700BEF" w:rsidP="00700BEF">
      <w:pPr>
        <w:spacing w:line="276" w:lineRule="auto"/>
        <w:contextualSpacing/>
        <w:jc w:val="both"/>
        <w:rPr>
          <w:rFonts w:ascii="Calibri" w:hAnsi="Calibri" w:cs="Calibri"/>
          <w:b/>
          <w:szCs w:val="24"/>
        </w:rPr>
      </w:pPr>
      <w:r w:rsidRPr="00700BEF">
        <w:rPr>
          <w:rFonts w:ascii="Calibri" w:hAnsi="Calibri" w:cs="Calibri"/>
          <w:b/>
          <w:szCs w:val="24"/>
        </w:rPr>
        <w:t>SUMMARY</w:t>
      </w:r>
    </w:p>
    <w:p w:rsidR="00700BEF" w:rsidRPr="00700BEF" w:rsidRDefault="00700BEF" w:rsidP="00700BEF">
      <w:pPr>
        <w:spacing w:line="276" w:lineRule="auto"/>
        <w:contextualSpacing/>
        <w:jc w:val="center"/>
        <w:rPr>
          <w:rFonts w:ascii="Tahoma" w:hAnsi="Tahoma" w:cs="Tahoma"/>
          <w:b/>
          <w:szCs w:val="24"/>
        </w:rPr>
      </w:pPr>
      <w:r w:rsidRPr="00700BEF">
        <w:rPr>
          <w:rFonts w:ascii="Tahoma" w:hAnsi="Tahoma" w:cs="Tahoma"/>
          <w:b/>
          <w:szCs w:val="24"/>
        </w:rPr>
        <w:t>RESULTS OF SURGICAL TREATMENT OF TIBIAL PLATEAU COMPLEX FRACTURES USING LOCKING PLATES</w:t>
      </w:r>
    </w:p>
    <w:p w:rsidR="00700BEF" w:rsidRPr="00700BEF" w:rsidRDefault="00700BEF" w:rsidP="00700BEF">
      <w:pPr>
        <w:spacing w:line="276" w:lineRule="auto"/>
        <w:ind w:firstLine="360"/>
        <w:contextualSpacing/>
        <w:jc w:val="both"/>
        <w:rPr>
          <w:rFonts w:ascii="Tahoma" w:hAnsi="Tahoma" w:cs="Tahoma"/>
          <w:szCs w:val="24"/>
        </w:rPr>
      </w:pPr>
      <w:r w:rsidRPr="00700BEF">
        <w:rPr>
          <w:rFonts w:ascii="Tahoma" w:hAnsi="Tahoma" w:cs="Tahoma"/>
          <w:b/>
          <w:szCs w:val="24"/>
        </w:rPr>
        <w:t>Objectives</w:t>
      </w:r>
      <w:r w:rsidRPr="00700BEF">
        <w:rPr>
          <w:rFonts w:ascii="Tahoma" w:hAnsi="Tahoma" w:cs="Tahoma"/>
          <w:szCs w:val="24"/>
        </w:rPr>
        <w:t xml:space="preserve">: evaluate the results of tibial plateau complex fracture fixation by locking plates. </w:t>
      </w:r>
      <w:r w:rsidRPr="00700BEF">
        <w:rPr>
          <w:rFonts w:ascii="Tahoma" w:hAnsi="Tahoma" w:cs="Tahoma"/>
          <w:b/>
          <w:szCs w:val="24"/>
        </w:rPr>
        <w:t>Subjects and Methods</w:t>
      </w:r>
      <w:r w:rsidRPr="00700BEF">
        <w:rPr>
          <w:rFonts w:ascii="Tahoma" w:hAnsi="Tahoma" w:cs="Tahoma"/>
          <w:szCs w:val="24"/>
        </w:rPr>
        <w:t xml:space="preserve">: Retrospective study on 55 cases diagnosed tibial plateau complex fracture (Schatzker V,VI) and operated using locking plates in Viet Duc Traumatic and Orthopedic Institute from 6/2013 through 4/2015. </w:t>
      </w:r>
      <w:r w:rsidRPr="00700BEF">
        <w:rPr>
          <w:rFonts w:ascii="Tahoma" w:hAnsi="Tahoma" w:cs="Tahoma"/>
          <w:b/>
          <w:szCs w:val="24"/>
        </w:rPr>
        <w:t>Results</w:t>
      </w:r>
      <w:r w:rsidRPr="00700BEF">
        <w:rPr>
          <w:rFonts w:ascii="Tahoma" w:hAnsi="Tahoma" w:cs="Tahoma"/>
          <w:szCs w:val="24"/>
        </w:rPr>
        <w:t>: One infected wound case. On nearly result, 54/55 patients was good and very good. On distant result, 48/55 patients with folding knee more than 90</w:t>
      </w:r>
      <w:r w:rsidRPr="00700BEF">
        <w:rPr>
          <w:rFonts w:ascii="Tahoma" w:hAnsi="Tahoma" w:cs="Tahoma"/>
          <w:szCs w:val="24"/>
          <w:vertAlign w:val="superscript"/>
        </w:rPr>
        <w:t>0</w:t>
      </w:r>
      <w:r w:rsidRPr="00700BEF">
        <w:rPr>
          <w:rFonts w:ascii="Tahoma" w:hAnsi="Tahoma" w:cs="Tahoma"/>
          <w:szCs w:val="24"/>
        </w:rPr>
        <w:t xml:space="preserve"> and 3/55 with broken plate. </w:t>
      </w:r>
      <w:r w:rsidRPr="00700BEF">
        <w:rPr>
          <w:rFonts w:ascii="Tahoma" w:hAnsi="Tahoma" w:cs="Tahoma"/>
          <w:b/>
          <w:szCs w:val="24"/>
        </w:rPr>
        <w:t>Conclusion</w:t>
      </w:r>
      <w:r w:rsidRPr="00700BEF">
        <w:rPr>
          <w:rFonts w:ascii="Tahoma" w:hAnsi="Tahoma" w:cs="Tahoma"/>
          <w:szCs w:val="24"/>
        </w:rPr>
        <w:t xml:space="preserve">: treatment of tibial plateau complex fracture with locking plates showed good results.  </w:t>
      </w:r>
    </w:p>
    <w:p w:rsidR="00700BEF" w:rsidRPr="00700BEF" w:rsidRDefault="00700BEF" w:rsidP="00700BEF">
      <w:pPr>
        <w:spacing w:line="276" w:lineRule="auto"/>
        <w:ind w:firstLine="360"/>
        <w:contextualSpacing/>
        <w:jc w:val="both"/>
        <w:rPr>
          <w:rFonts w:ascii="Tahoma" w:hAnsi="Tahoma" w:cs="Tahoma"/>
          <w:szCs w:val="24"/>
        </w:rPr>
      </w:pPr>
      <w:r w:rsidRPr="00700BEF">
        <w:rPr>
          <w:rFonts w:ascii="Tahoma" w:hAnsi="Tahoma" w:cs="Tahoma"/>
          <w:b/>
          <w:i/>
          <w:szCs w:val="24"/>
        </w:rPr>
        <w:t>Keywords:</w:t>
      </w:r>
      <w:r w:rsidRPr="00700BEF">
        <w:rPr>
          <w:rFonts w:ascii="Tahoma" w:hAnsi="Tahoma" w:cs="Tahoma"/>
          <w:szCs w:val="24"/>
        </w:rPr>
        <w:t xml:space="preserve"> tibial plateau fracture, locking plates.</w:t>
      </w:r>
    </w:p>
    <w:p w:rsidR="002153BD" w:rsidRDefault="002153BD"/>
    <w:sectPr w:rsidR="002153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C5" w:rsidRDefault="00E448C5" w:rsidP="00700BEF">
      <w:r>
        <w:separator/>
      </w:r>
    </w:p>
  </w:endnote>
  <w:endnote w:type="continuationSeparator" w:id="0">
    <w:p w:rsidR="00E448C5" w:rsidRDefault="00E448C5" w:rsidP="0070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C5" w:rsidRDefault="00E448C5" w:rsidP="00700BEF">
      <w:r>
        <w:separator/>
      </w:r>
    </w:p>
  </w:footnote>
  <w:footnote w:type="continuationSeparator" w:id="0">
    <w:p w:rsidR="00E448C5" w:rsidRDefault="00E448C5" w:rsidP="00700BEF">
      <w:r>
        <w:continuationSeparator/>
      </w:r>
    </w:p>
  </w:footnote>
  <w:footnote w:id="1">
    <w:p w:rsidR="00700BEF" w:rsidRDefault="00700BEF" w:rsidP="00700BEF">
      <w:pPr>
        <w:contextualSpacing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1B"/>
    <w:rsid w:val="002153BD"/>
    <w:rsid w:val="00700BEF"/>
    <w:rsid w:val="00945E1B"/>
    <w:rsid w:val="00E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211C-937B-4FE9-9BCF-69516CC0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Q"/>
    <w:basedOn w:val="Normal"/>
    <w:link w:val="FooterChar2"/>
    <w:uiPriority w:val="99"/>
    <w:rsid w:val="00700BE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FooterChar">
    <w:name w:val="Footer Char"/>
    <w:basedOn w:val="DefaultParagraphFont"/>
    <w:uiPriority w:val="99"/>
    <w:semiHidden/>
    <w:rsid w:val="00700BEF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FooterChar2">
    <w:name w:val="Footer Char2"/>
    <w:aliases w:val="FooterQ Char"/>
    <w:link w:val="Footer"/>
    <w:uiPriority w:val="99"/>
    <w:rsid w:val="00700BEF"/>
    <w:rPr>
      <w:rFonts w:ascii=".VnTime" w:eastAsia="Times New Roman" w:hAnsi=".VnTime" w:cs="Times New Roman"/>
      <w:sz w:val="28"/>
      <w:szCs w:val="28"/>
      <w:lang w:val="en-US"/>
    </w:rPr>
  </w:style>
  <w:style w:type="character" w:styleId="FootnoteReference">
    <w:name w:val="footnote reference"/>
    <w:aliases w:val="Footnote,Footnote + Arial,10 pt,Black,ftref,(NECG) Footnote Reference,16 Point,Superscript 6 Point"/>
    <w:uiPriority w:val="99"/>
    <w:semiHidden/>
    <w:rsid w:val="00700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2</cp:revision>
  <dcterms:created xsi:type="dcterms:W3CDTF">2015-08-20T02:43:00Z</dcterms:created>
  <dcterms:modified xsi:type="dcterms:W3CDTF">2015-08-20T02:44:00Z</dcterms:modified>
</cp:coreProperties>
</file>