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58" w:rsidRPr="00912B5F" w:rsidRDefault="00B90058" w:rsidP="00B90058">
      <w:pPr>
        <w:pStyle w:val="NormalWeb"/>
        <w:shd w:val="clear" w:color="auto" w:fill="FFFFFF"/>
        <w:spacing w:before="0" w:beforeAutospacing="0" w:after="0" w:afterAutospacing="0"/>
        <w:contextualSpacing/>
        <w:jc w:val="center"/>
        <w:rPr>
          <w:rFonts w:ascii="Cambria" w:hAnsi="Cambria" w:cs="Tahoma"/>
          <w:b/>
          <w:bCs/>
          <w:iCs/>
          <w:sz w:val="28"/>
          <w:szCs w:val="20"/>
          <w:lang w:val="nl-NL"/>
        </w:rPr>
      </w:pPr>
      <w:r w:rsidRPr="00912B5F">
        <w:rPr>
          <w:rFonts w:ascii="Cambria" w:hAnsi="Cambria" w:cs="Tahoma"/>
          <w:b/>
          <w:bCs/>
          <w:iCs/>
          <w:sz w:val="28"/>
          <w:szCs w:val="20"/>
          <w:lang w:val="nl-NL"/>
        </w:rPr>
        <w:t>ĐẶC ĐIỂM LÂM SÀNG, HÌNH ẢNH HỌC VÀ KẾT QUẢ ĐIỀU TRỊ</w:t>
      </w:r>
    </w:p>
    <w:p w:rsidR="00B90058" w:rsidRPr="00912B5F" w:rsidRDefault="00B90058" w:rsidP="00B90058">
      <w:pPr>
        <w:pStyle w:val="NormalWeb"/>
        <w:shd w:val="clear" w:color="auto" w:fill="FFFFFF"/>
        <w:spacing w:before="0" w:beforeAutospacing="0" w:after="0" w:afterAutospacing="0"/>
        <w:contextualSpacing/>
        <w:jc w:val="center"/>
        <w:rPr>
          <w:rFonts w:ascii="Cambria" w:hAnsi="Cambria" w:cs="Tahoma"/>
          <w:b/>
          <w:bCs/>
          <w:iCs/>
          <w:sz w:val="28"/>
          <w:szCs w:val="20"/>
          <w:lang w:val="nl-NL"/>
        </w:rPr>
      </w:pPr>
      <w:r w:rsidRPr="00912B5F">
        <w:rPr>
          <w:rFonts w:ascii="Cambria" w:hAnsi="Cambria" w:cs="Tahoma"/>
          <w:b/>
          <w:bCs/>
          <w:iCs/>
          <w:sz w:val="28"/>
          <w:szCs w:val="20"/>
          <w:lang w:val="nl-NL"/>
        </w:rPr>
        <w:t>CHẢY MÁU NÃO GIAI ĐOẠN CẤP TẠI KHOA CẤP CỨU</w:t>
      </w:r>
    </w:p>
    <w:p w:rsidR="00B90058" w:rsidRPr="00912B5F" w:rsidRDefault="00B90058" w:rsidP="00B90058">
      <w:pPr>
        <w:pStyle w:val="NormalWeb"/>
        <w:shd w:val="clear" w:color="auto" w:fill="FFFFFF"/>
        <w:spacing w:before="0" w:beforeAutospacing="0" w:after="0" w:afterAutospacing="0"/>
        <w:contextualSpacing/>
        <w:jc w:val="center"/>
        <w:rPr>
          <w:rFonts w:ascii="Cambria" w:hAnsi="Cambria" w:cs="Tahoma"/>
          <w:b/>
          <w:bCs/>
          <w:iCs/>
          <w:sz w:val="28"/>
          <w:szCs w:val="20"/>
          <w:lang w:val="nl-NL"/>
        </w:rPr>
      </w:pPr>
      <w:r w:rsidRPr="00912B5F">
        <w:rPr>
          <w:rFonts w:ascii="Cambria" w:hAnsi="Cambria" w:cs="Tahoma"/>
          <w:b/>
          <w:bCs/>
          <w:iCs/>
          <w:sz w:val="28"/>
          <w:szCs w:val="20"/>
          <w:lang w:val="nl-NL"/>
        </w:rPr>
        <w:t>BỆNH VIỆN ĐA KHOA TỈNH YÊN BÁI</w:t>
      </w:r>
    </w:p>
    <w:p w:rsidR="00B90058" w:rsidRDefault="00B90058" w:rsidP="00B90058">
      <w:pPr>
        <w:pStyle w:val="NormalWeb"/>
        <w:shd w:val="clear" w:color="auto" w:fill="FFFFFF"/>
        <w:spacing w:before="0" w:beforeAutospacing="0" w:after="0" w:afterAutospacing="0"/>
        <w:contextualSpacing/>
        <w:jc w:val="both"/>
        <w:rPr>
          <w:rFonts w:ascii="Tahoma" w:hAnsi="Tahoma" w:cs="Tahoma"/>
          <w:b/>
          <w:bCs/>
          <w:iCs/>
          <w:sz w:val="20"/>
          <w:szCs w:val="20"/>
          <w:lang w:val="nl-NL"/>
        </w:rPr>
      </w:pPr>
    </w:p>
    <w:p w:rsidR="00B90058" w:rsidRPr="007A77AD" w:rsidRDefault="00B90058" w:rsidP="00B90058">
      <w:pPr>
        <w:pStyle w:val="NormalWeb"/>
        <w:shd w:val="clear" w:color="auto" w:fill="FFFFFF"/>
        <w:spacing w:before="0" w:beforeAutospacing="0" w:after="0" w:afterAutospacing="0"/>
        <w:contextualSpacing/>
        <w:jc w:val="right"/>
        <w:rPr>
          <w:b/>
          <w:bCs/>
          <w:iCs/>
          <w:szCs w:val="20"/>
          <w:vertAlign w:val="superscript"/>
          <w:lang w:val="nl-NL"/>
        </w:rPr>
      </w:pPr>
      <w:r w:rsidRPr="007A77AD">
        <w:rPr>
          <w:b/>
          <w:bCs/>
          <w:iCs/>
          <w:szCs w:val="20"/>
          <w:lang w:val="nl-NL"/>
        </w:rPr>
        <w:t>Mai Duy Tôn</w:t>
      </w:r>
      <w:r>
        <w:rPr>
          <w:b/>
          <w:bCs/>
          <w:iCs/>
          <w:szCs w:val="20"/>
          <w:lang w:val="nl-NL"/>
        </w:rPr>
        <w:t>*</w:t>
      </w:r>
      <w:r w:rsidRPr="007A77AD">
        <w:rPr>
          <w:b/>
          <w:bCs/>
          <w:iCs/>
          <w:szCs w:val="20"/>
          <w:lang w:val="nl-NL"/>
        </w:rPr>
        <w:t>,</w:t>
      </w:r>
      <w:r w:rsidRPr="007A77AD">
        <w:rPr>
          <w:b/>
          <w:bCs/>
          <w:iCs/>
          <w:szCs w:val="20"/>
          <w:vertAlign w:val="superscript"/>
          <w:lang w:val="nl-NL"/>
        </w:rPr>
        <w:t xml:space="preserve"> </w:t>
      </w:r>
      <w:r w:rsidRPr="007A77AD">
        <w:rPr>
          <w:b/>
          <w:bCs/>
          <w:iCs/>
          <w:szCs w:val="20"/>
          <w:lang w:val="nl-NL"/>
        </w:rPr>
        <w:t>Đào Việt Phương</w:t>
      </w:r>
      <w:r>
        <w:rPr>
          <w:b/>
          <w:bCs/>
          <w:iCs/>
          <w:szCs w:val="20"/>
          <w:lang w:val="nl-NL"/>
        </w:rPr>
        <w:t>*</w:t>
      </w:r>
      <w:r w:rsidRPr="007A77AD">
        <w:rPr>
          <w:b/>
          <w:bCs/>
          <w:iCs/>
          <w:szCs w:val="20"/>
          <w:lang w:val="nl-NL"/>
        </w:rPr>
        <w:t>, Nguyễn Song Hào</w:t>
      </w:r>
      <w:r>
        <w:rPr>
          <w:b/>
          <w:bCs/>
          <w:iCs/>
          <w:szCs w:val="20"/>
          <w:lang w:val="nl-NL"/>
        </w:rPr>
        <w:t>**</w:t>
      </w:r>
    </w:p>
    <w:p w:rsidR="00B90058" w:rsidRPr="00B90058" w:rsidRDefault="00B90058" w:rsidP="00B90058">
      <w:pPr>
        <w:pStyle w:val="NormalWeb"/>
        <w:shd w:val="clear" w:color="auto" w:fill="FFFFFF"/>
        <w:tabs>
          <w:tab w:val="left" w:pos="4971"/>
        </w:tabs>
        <w:spacing w:before="0" w:beforeAutospacing="0" w:after="0" w:afterAutospacing="0" w:line="276" w:lineRule="auto"/>
        <w:contextualSpacing/>
        <w:jc w:val="both"/>
        <w:rPr>
          <w:rFonts w:ascii="Calibri" w:hAnsi="Calibri" w:cs="Calibri"/>
          <w:b/>
          <w:lang w:val="nl-NL"/>
        </w:rPr>
      </w:pPr>
      <w:r w:rsidRPr="00B90058">
        <w:rPr>
          <w:rFonts w:ascii="Calibri" w:hAnsi="Calibri" w:cs="Calibri"/>
          <w:b/>
          <w:lang w:val="nl-NL"/>
        </w:rPr>
        <w:t>TÓM TẮT</w:t>
      </w:r>
      <w:r w:rsidRPr="00B90058">
        <w:rPr>
          <w:rStyle w:val="FootnoteReference"/>
          <w:rFonts w:ascii="Calibri" w:hAnsi="Calibri" w:cs="Calibri"/>
          <w:b/>
          <w:lang w:val="nl-NL"/>
        </w:rPr>
        <w:footnoteReference w:id="1"/>
      </w:r>
    </w:p>
    <w:p w:rsidR="00B90058" w:rsidRPr="00B90058" w:rsidRDefault="00B90058" w:rsidP="00B90058">
      <w:pPr>
        <w:pStyle w:val="NormalWeb"/>
        <w:shd w:val="clear" w:color="auto" w:fill="FFFFFF"/>
        <w:tabs>
          <w:tab w:val="left" w:pos="4971"/>
        </w:tabs>
        <w:spacing w:before="0" w:beforeAutospacing="0" w:after="0" w:afterAutospacing="0" w:line="276" w:lineRule="auto"/>
        <w:ind w:firstLine="360"/>
        <w:contextualSpacing/>
        <w:jc w:val="both"/>
        <w:rPr>
          <w:rFonts w:ascii="Tahoma" w:hAnsi="Tahoma" w:cs="Tahoma"/>
          <w:b/>
          <w:lang w:val="nl-NL"/>
        </w:rPr>
      </w:pPr>
      <w:r w:rsidRPr="00B90058">
        <w:rPr>
          <w:rFonts w:ascii="Tahoma" w:hAnsi="Tahoma" w:cs="Tahoma"/>
          <w:b/>
          <w:lang w:val="nl-NL"/>
        </w:rPr>
        <w:t>Mục tiêu:</w:t>
      </w:r>
      <w:r w:rsidRPr="00B90058">
        <w:rPr>
          <w:rFonts w:ascii="Tahoma" w:hAnsi="Tahoma" w:cs="Tahoma"/>
          <w:b/>
          <w:lang w:val="nl-NL"/>
        </w:rPr>
        <w:tab/>
      </w:r>
    </w:p>
    <w:p w:rsidR="00B90058" w:rsidRPr="00B90058" w:rsidRDefault="00B90058" w:rsidP="00B90058">
      <w:pPr>
        <w:pStyle w:val="NormalWeb"/>
        <w:numPr>
          <w:ilvl w:val="0"/>
          <w:numId w:val="1"/>
        </w:numPr>
        <w:shd w:val="clear" w:color="auto" w:fill="FFFFFF"/>
        <w:tabs>
          <w:tab w:val="left" w:pos="180"/>
        </w:tabs>
        <w:spacing w:before="0" w:beforeAutospacing="0" w:after="0" w:afterAutospacing="0" w:line="276" w:lineRule="auto"/>
        <w:ind w:left="0" w:firstLine="0"/>
        <w:contextualSpacing/>
        <w:jc w:val="both"/>
        <w:rPr>
          <w:rFonts w:ascii="Tahoma" w:hAnsi="Tahoma" w:cs="Tahoma"/>
          <w:b/>
          <w:bCs/>
          <w:iCs/>
          <w:lang w:val="nl-NL"/>
        </w:rPr>
      </w:pPr>
      <w:r w:rsidRPr="00B90058">
        <w:rPr>
          <w:rFonts w:ascii="Tahoma" w:hAnsi="Tahoma" w:cs="Tahoma"/>
          <w:lang w:val="nl-NL"/>
        </w:rPr>
        <w:t>Đánh giá một số đặc điểm lâm sàng và hình ảnh học của chảy máu não giai đoạn cấp.</w:t>
      </w:r>
    </w:p>
    <w:p w:rsidR="00B90058" w:rsidRPr="00B90058" w:rsidRDefault="00B90058" w:rsidP="00B90058">
      <w:pPr>
        <w:pStyle w:val="NormalWeb"/>
        <w:numPr>
          <w:ilvl w:val="0"/>
          <w:numId w:val="1"/>
        </w:numPr>
        <w:shd w:val="clear" w:color="auto" w:fill="FFFFFF"/>
        <w:tabs>
          <w:tab w:val="left" w:pos="180"/>
        </w:tabs>
        <w:spacing w:before="0" w:beforeAutospacing="0" w:after="0" w:afterAutospacing="0" w:line="276" w:lineRule="auto"/>
        <w:ind w:left="0" w:firstLine="0"/>
        <w:contextualSpacing/>
        <w:jc w:val="both"/>
        <w:rPr>
          <w:rFonts w:ascii="Tahoma" w:hAnsi="Tahoma" w:cs="Tahoma"/>
          <w:b/>
          <w:bCs/>
          <w:iCs/>
          <w:lang w:val="nl-NL"/>
        </w:rPr>
      </w:pPr>
      <w:r w:rsidRPr="00B90058">
        <w:rPr>
          <w:rFonts w:ascii="Tahoma" w:hAnsi="Tahoma" w:cs="Tahoma"/>
          <w:lang w:val="nl-NL"/>
        </w:rPr>
        <w:t xml:space="preserve">Đánh giá kết quả điều trị chảy máu não giai đoạn cấp tại thời điểm 3 tháng. </w:t>
      </w:r>
    </w:p>
    <w:p w:rsidR="00B90058" w:rsidRPr="00B90058" w:rsidRDefault="00B90058" w:rsidP="00B90058">
      <w:pPr>
        <w:spacing w:line="276" w:lineRule="auto"/>
        <w:ind w:firstLine="360"/>
        <w:contextualSpacing/>
        <w:jc w:val="both"/>
        <w:rPr>
          <w:rFonts w:ascii="Tahoma" w:hAnsi="Tahoma" w:cs="Tahoma"/>
          <w:spacing w:val="-2"/>
          <w:szCs w:val="24"/>
        </w:rPr>
      </w:pPr>
      <w:r w:rsidRPr="00B90058">
        <w:rPr>
          <w:rFonts w:ascii="Tahoma" w:hAnsi="Tahoma" w:cs="Tahoma"/>
          <w:b/>
          <w:spacing w:val="-2"/>
          <w:szCs w:val="24"/>
          <w:lang w:val="nl-NL"/>
        </w:rPr>
        <w:t>Phương pháp</w:t>
      </w:r>
      <w:r w:rsidRPr="00B90058">
        <w:rPr>
          <w:rFonts w:ascii="Tahoma" w:hAnsi="Tahoma" w:cs="Tahoma"/>
          <w:spacing w:val="-2"/>
          <w:szCs w:val="24"/>
          <w:lang w:val="nl-NL"/>
        </w:rPr>
        <w:t>:</w:t>
      </w:r>
      <w:r w:rsidRPr="00B90058">
        <w:rPr>
          <w:rFonts w:ascii="Tahoma" w:hAnsi="Tahoma" w:cs="Tahoma"/>
          <w:spacing w:val="-2"/>
          <w:szCs w:val="24"/>
        </w:rPr>
        <w:t xml:space="preserve"> Nghiên cứu quan sát, mô tả, tiến cứu</w:t>
      </w:r>
      <w:r w:rsidRPr="00B90058">
        <w:rPr>
          <w:rFonts w:ascii="Tahoma" w:hAnsi="Tahoma" w:cs="Tahoma"/>
          <w:spacing w:val="-2"/>
          <w:szCs w:val="24"/>
          <w:lang w:val="nl-NL"/>
        </w:rPr>
        <w:t>, theo dõi dọc trong thời gian 3 tháng</w:t>
      </w:r>
      <w:r w:rsidRPr="00B90058">
        <w:rPr>
          <w:rFonts w:ascii="Tahoma" w:hAnsi="Tahoma" w:cs="Tahoma"/>
          <w:spacing w:val="-2"/>
          <w:szCs w:val="24"/>
        </w:rPr>
        <w:t xml:space="preserve"> trên 137 bệnh nhân được chẩn đoán chảy máu não giai đoạn cấp, điều trị tại khoa Cấp cứu , Bệnh viện Đa khoa tỉnh Yên Bái từ tháng 01 năm 2012 đến tháng 01 năm 2014.</w:t>
      </w:r>
    </w:p>
    <w:p w:rsidR="00B90058" w:rsidRPr="00B90058" w:rsidRDefault="00B90058" w:rsidP="00B90058">
      <w:pPr>
        <w:spacing w:line="276" w:lineRule="auto"/>
        <w:ind w:firstLine="360"/>
        <w:contextualSpacing/>
        <w:jc w:val="both"/>
        <w:rPr>
          <w:rFonts w:ascii="Tahoma" w:hAnsi="Tahoma" w:cs="Tahoma"/>
          <w:szCs w:val="24"/>
        </w:rPr>
      </w:pPr>
      <w:r w:rsidRPr="00B90058">
        <w:rPr>
          <w:rFonts w:ascii="Tahoma" w:hAnsi="Tahoma" w:cs="Tahoma"/>
          <w:b/>
          <w:szCs w:val="24"/>
        </w:rPr>
        <w:t>Kết quả:</w:t>
      </w:r>
      <w:r w:rsidRPr="00B90058">
        <w:rPr>
          <w:rFonts w:ascii="Tahoma" w:hAnsi="Tahoma" w:cs="Tahoma"/>
          <w:szCs w:val="24"/>
          <w:lang w:val="nl-NL"/>
        </w:rPr>
        <w:t xml:space="preserve">  Nhóm tuổi hay gặp nhất là 45 – 64 tuổi (chiếm 63,5%),tỷ lệ nam/nữ 2,2/1; Vào viện trước 6 giờ sau khởi phát 81,8%, liệt nửa người chiếm 87,6%, nhức đầu chiếm 81,8%, rối loạn ý thức chiếm 77,4%, co giật 8,8%; </w:t>
      </w:r>
      <w:r w:rsidRPr="00B90058">
        <w:rPr>
          <w:rFonts w:ascii="Tahoma" w:hAnsi="Tahoma" w:cs="Tahoma"/>
          <w:szCs w:val="24"/>
        </w:rPr>
        <w:t>Chảy máu não ở hạch nền 40,9%, đồi thị 19%, thân não 10,2%, tiểu não 2,2%; Khối máu tụ không đồng nhất chiếm 33,6%, đồng nhất 66,4%; Thể tích khối máu tụ &lt; 30cm</w:t>
      </w:r>
      <w:r w:rsidRPr="00B90058">
        <w:rPr>
          <w:rFonts w:ascii="Tahoma" w:hAnsi="Tahoma" w:cs="Tahoma"/>
          <w:szCs w:val="24"/>
          <w:vertAlign w:val="superscript"/>
        </w:rPr>
        <w:t>3</w:t>
      </w:r>
      <w:r w:rsidRPr="00B90058">
        <w:rPr>
          <w:rFonts w:ascii="Tahoma" w:hAnsi="Tahoma" w:cs="Tahoma"/>
          <w:szCs w:val="24"/>
        </w:rPr>
        <w:t xml:space="preserve"> chiếm 51,7%, chảy máu vào não thất 49,6%. Tử vong chiếm 43,8%.</w:t>
      </w:r>
    </w:p>
    <w:p w:rsidR="00B90058" w:rsidRPr="00B90058" w:rsidRDefault="00B90058" w:rsidP="00B90058">
      <w:pPr>
        <w:spacing w:line="276" w:lineRule="auto"/>
        <w:ind w:firstLine="360"/>
        <w:contextualSpacing/>
        <w:jc w:val="both"/>
        <w:rPr>
          <w:rFonts w:ascii="Tahoma" w:hAnsi="Tahoma" w:cs="Tahoma"/>
          <w:b/>
          <w:szCs w:val="24"/>
          <w:lang w:val="nl-NL"/>
        </w:rPr>
      </w:pPr>
      <w:r w:rsidRPr="00B90058">
        <w:rPr>
          <w:rFonts w:ascii="Tahoma" w:hAnsi="Tahoma" w:cs="Tahoma"/>
          <w:b/>
          <w:szCs w:val="24"/>
          <w:lang w:val="nl-NL"/>
        </w:rPr>
        <w:t>Kết luận</w:t>
      </w:r>
      <w:r w:rsidRPr="00B90058">
        <w:rPr>
          <w:rFonts w:ascii="Tahoma" w:hAnsi="Tahoma" w:cs="Tahoma"/>
          <w:szCs w:val="24"/>
          <w:lang w:val="nl-NL"/>
        </w:rPr>
        <w:t>:</w:t>
      </w:r>
      <w:r w:rsidRPr="00B90058">
        <w:rPr>
          <w:rFonts w:ascii="Tahoma" w:hAnsi="Tahoma" w:cs="Tahoma"/>
          <w:szCs w:val="24"/>
          <w:lang w:val="pt-BR"/>
        </w:rPr>
        <w:t xml:space="preserve"> N</w:t>
      </w:r>
      <w:r w:rsidRPr="00B90058">
        <w:rPr>
          <w:rFonts w:ascii="Tahoma" w:hAnsi="Tahoma" w:cs="Tahoma"/>
          <w:szCs w:val="24"/>
          <w:lang w:val="nl-NL"/>
        </w:rPr>
        <w:t xml:space="preserve">ghiên cứu 137 bệnh nhân đột quỵ chảy máu não tại bệnh viện Yên Bái cho thấy xu hướng tuổi mắc bệnh tương đối trẻ so với các khu vực khác, nam chiếm ưu thế rõ rệt. Đa số trường hợp bệnh cảnh lâm sàng ở mức vừa và nặng. Tỷ lệ tử vong vẫn ở mức cao. </w:t>
      </w:r>
    </w:p>
    <w:p w:rsidR="00B90058" w:rsidRPr="00B90058" w:rsidRDefault="00B90058" w:rsidP="00B90058">
      <w:pPr>
        <w:spacing w:line="276" w:lineRule="auto"/>
        <w:contextualSpacing/>
        <w:jc w:val="both"/>
        <w:rPr>
          <w:rFonts w:ascii="Tahoma" w:hAnsi="Tahoma" w:cs="Tahoma"/>
          <w:b/>
          <w:szCs w:val="24"/>
          <w:lang w:val="nl-NL"/>
        </w:rPr>
      </w:pPr>
      <w:r w:rsidRPr="00B90058">
        <w:rPr>
          <w:rFonts w:ascii="Tahoma" w:hAnsi="Tahoma" w:cs="Tahoma"/>
          <w:b/>
          <w:i/>
          <w:szCs w:val="24"/>
          <w:lang w:val="nl-NL"/>
        </w:rPr>
        <w:t>Từ khóa:</w:t>
      </w:r>
      <w:r w:rsidRPr="00B90058">
        <w:rPr>
          <w:rFonts w:ascii="Tahoma" w:hAnsi="Tahoma" w:cs="Tahoma"/>
          <w:szCs w:val="24"/>
          <w:lang w:val="nl-NL"/>
        </w:rPr>
        <w:t xml:space="preserve"> Chảy máu não, hình ảnh học, lâm sàng...</w:t>
      </w:r>
    </w:p>
    <w:p w:rsidR="00B90058" w:rsidRPr="00B90058" w:rsidRDefault="00B90058" w:rsidP="00B90058">
      <w:pPr>
        <w:spacing w:line="276" w:lineRule="auto"/>
        <w:contextualSpacing/>
        <w:jc w:val="both"/>
        <w:rPr>
          <w:rFonts w:ascii="Tahoma" w:hAnsi="Tahoma" w:cs="Tahoma"/>
          <w:b/>
          <w:szCs w:val="24"/>
          <w:lang w:val="nl-NL"/>
        </w:rPr>
      </w:pPr>
    </w:p>
    <w:p w:rsidR="00B90058" w:rsidRPr="00B90058" w:rsidRDefault="00B90058" w:rsidP="00B90058">
      <w:pPr>
        <w:spacing w:line="276" w:lineRule="auto"/>
        <w:contextualSpacing/>
        <w:jc w:val="both"/>
        <w:rPr>
          <w:rFonts w:ascii="Calibri" w:hAnsi="Calibri" w:cs="Calibri"/>
          <w:b/>
          <w:szCs w:val="24"/>
          <w:lang w:val="nl-NL"/>
        </w:rPr>
      </w:pPr>
      <w:r w:rsidRPr="00B90058">
        <w:rPr>
          <w:rFonts w:ascii="Calibri" w:hAnsi="Calibri" w:cs="Calibri"/>
          <w:b/>
          <w:szCs w:val="24"/>
          <w:lang w:val="nl-NL"/>
        </w:rPr>
        <w:t>SUMMARY</w:t>
      </w:r>
    </w:p>
    <w:p w:rsidR="00B90058" w:rsidRPr="00B90058" w:rsidRDefault="00B90058" w:rsidP="00B90058">
      <w:pPr>
        <w:spacing w:line="276" w:lineRule="auto"/>
        <w:contextualSpacing/>
        <w:jc w:val="center"/>
        <w:rPr>
          <w:rFonts w:ascii="Tahoma" w:hAnsi="Tahoma" w:cs="Tahoma"/>
          <w:b/>
          <w:szCs w:val="24"/>
          <w:lang w:val="nl-NL"/>
        </w:rPr>
      </w:pPr>
      <w:r w:rsidRPr="00B90058">
        <w:rPr>
          <w:rFonts w:ascii="Tahoma" w:hAnsi="Tahoma" w:cs="Tahoma"/>
          <w:b/>
          <w:szCs w:val="24"/>
          <w:lang w:val="nl-NL"/>
        </w:rPr>
        <w:t>RESEARCH ON CLINICAL FEATURES, NEUROIMAGING AND THE OUTCOME OF ACUTE HEMORRHAGIC STROKES AT THE EMERGENCY DEPARTMENT OF YÊN BÁI PROVINCIAL GENERAL HOSPITAL</w:t>
      </w:r>
    </w:p>
    <w:p w:rsidR="00B90058" w:rsidRPr="00B90058" w:rsidRDefault="00B90058" w:rsidP="00B90058">
      <w:pPr>
        <w:spacing w:line="276" w:lineRule="auto"/>
        <w:ind w:firstLine="360"/>
        <w:contextualSpacing/>
        <w:jc w:val="both"/>
        <w:rPr>
          <w:rFonts w:ascii="Tahoma" w:hAnsi="Tahoma" w:cs="Tahoma"/>
          <w:szCs w:val="24"/>
        </w:rPr>
      </w:pPr>
      <w:r w:rsidRPr="00B90058">
        <w:rPr>
          <w:rFonts w:ascii="Tahoma" w:hAnsi="Tahoma" w:cs="Tahoma"/>
          <w:b/>
          <w:szCs w:val="24"/>
        </w:rPr>
        <w:t>Objectives</w:t>
      </w:r>
      <w:r w:rsidRPr="00B90058">
        <w:rPr>
          <w:rFonts w:ascii="Tahoma" w:hAnsi="Tahoma" w:cs="Tahoma"/>
          <w:szCs w:val="24"/>
        </w:rPr>
        <w:t>:</w:t>
      </w:r>
    </w:p>
    <w:p w:rsidR="00B90058" w:rsidRPr="00B90058" w:rsidRDefault="00B90058" w:rsidP="00B90058">
      <w:pPr>
        <w:tabs>
          <w:tab w:val="left" w:pos="270"/>
        </w:tabs>
        <w:spacing w:line="276" w:lineRule="auto"/>
        <w:contextualSpacing/>
        <w:jc w:val="both"/>
        <w:rPr>
          <w:rFonts w:ascii="Tahoma" w:hAnsi="Tahoma" w:cs="Tahoma"/>
          <w:szCs w:val="24"/>
        </w:rPr>
      </w:pPr>
      <w:r w:rsidRPr="00B90058">
        <w:rPr>
          <w:rFonts w:ascii="Tahoma" w:hAnsi="Tahoma" w:cs="Tahoma"/>
          <w:szCs w:val="24"/>
        </w:rPr>
        <w:t>- To evaluate a number of clinical characteristics, neuroimaging of acute hemorrhagic strokes.</w:t>
      </w:r>
    </w:p>
    <w:p w:rsidR="00B90058" w:rsidRPr="00B90058" w:rsidRDefault="00B90058" w:rsidP="00B90058">
      <w:pPr>
        <w:tabs>
          <w:tab w:val="left" w:pos="270"/>
        </w:tabs>
        <w:spacing w:line="276" w:lineRule="auto"/>
        <w:contextualSpacing/>
        <w:jc w:val="both"/>
        <w:rPr>
          <w:rFonts w:ascii="Tahoma" w:hAnsi="Tahoma" w:cs="Tahoma"/>
          <w:szCs w:val="24"/>
        </w:rPr>
      </w:pPr>
      <w:r w:rsidRPr="00B90058">
        <w:rPr>
          <w:rFonts w:ascii="Tahoma" w:hAnsi="Tahoma" w:cs="Tahoma"/>
          <w:szCs w:val="24"/>
        </w:rPr>
        <w:t>- To assess the treatment outcome of acute hemorrhagic strokes within 3 months.</w:t>
      </w:r>
    </w:p>
    <w:p w:rsidR="00B90058" w:rsidRPr="00B90058" w:rsidRDefault="00B90058" w:rsidP="00B90058">
      <w:pPr>
        <w:spacing w:line="276" w:lineRule="auto"/>
        <w:ind w:firstLine="360"/>
        <w:contextualSpacing/>
        <w:jc w:val="both"/>
        <w:rPr>
          <w:rFonts w:ascii="Tahoma" w:hAnsi="Tahoma" w:cs="Tahoma"/>
          <w:szCs w:val="24"/>
          <w:lang w:val="nl-NL"/>
        </w:rPr>
      </w:pPr>
      <w:r w:rsidRPr="00B90058">
        <w:rPr>
          <w:rFonts w:ascii="Tahoma" w:hAnsi="Tahoma" w:cs="Tahoma"/>
          <w:b/>
          <w:szCs w:val="24"/>
        </w:rPr>
        <w:t>Methods</w:t>
      </w:r>
      <w:r w:rsidRPr="00B90058">
        <w:rPr>
          <w:rFonts w:ascii="Tahoma" w:hAnsi="Tahoma" w:cs="Tahoma"/>
          <w:szCs w:val="24"/>
        </w:rPr>
        <w:t xml:space="preserve">: a prospective, observative research on 137 patients with acute hemorrhagic stroke at  the Emergency Department, </w:t>
      </w:r>
      <w:r w:rsidRPr="00B90058">
        <w:rPr>
          <w:rFonts w:ascii="Tahoma" w:hAnsi="Tahoma" w:cs="Tahoma"/>
          <w:szCs w:val="24"/>
          <w:lang w:val="nl-NL"/>
        </w:rPr>
        <w:t xml:space="preserve">Yên Bái provincial General Hospital </w:t>
      </w:r>
      <w:r w:rsidRPr="00B90058">
        <w:rPr>
          <w:rFonts w:ascii="Tahoma" w:hAnsi="Tahoma" w:cs="Tahoma"/>
          <w:szCs w:val="24"/>
        </w:rPr>
        <w:t xml:space="preserve">from 01/2012 to 10/2014. </w:t>
      </w:r>
    </w:p>
    <w:p w:rsidR="00B90058" w:rsidRPr="00B90058" w:rsidRDefault="00B90058" w:rsidP="00B90058">
      <w:pPr>
        <w:spacing w:line="276" w:lineRule="auto"/>
        <w:ind w:firstLine="360"/>
        <w:contextualSpacing/>
        <w:jc w:val="both"/>
        <w:rPr>
          <w:rFonts w:ascii="Tahoma" w:hAnsi="Tahoma" w:cs="Tahoma"/>
          <w:szCs w:val="24"/>
        </w:rPr>
      </w:pPr>
      <w:r w:rsidRPr="00B90058">
        <w:rPr>
          <w:rFonts w:ascii="Tahoma" w:hAnsi="Tahoma" w:cs="Tahoma"/>
          <w:b/>
          <w:szCs w:val="24"/>
        </w:rPr>
        <w:t>Results</w:t>
      </w:r>
      <w:r w:rsidRPr="00B90058">
        <w:rPr>
          <w:rFonts w:ascii="Tahoma" w:hAnsi="Tahoma" w:cs="Tahoma"/>
          <w:szCs w:val="24"/>
        </w:rPr>
        <w:t>: The common age group was 45 – 64(63,5%), male/female was 2,2/1, the onset to admission time within 6h was 88,1%; Hemiplegia was 87,6%, headache was 81,8%, conscious deterioration was 77,4%, seizures was 8,8%; Basal ganglia bleeding was 40,9%, thalamus bleeding was 19%, pontine bleeding was 10,2%, cerebellar bleeding was 2,2%, homogeneous hematomas was 66,4%, heterogeneous hemat</w:t>
      </w:r>
      <w:bookmarkStart w:id="0" w:name="_GoBack"/>
      <w:bookmarkEnd w:id="0"/>
      <w:r w:rsidRPr="00B90058">
        <w:rPr>
          <w:rFonts w:ascii="Tahoma" w:hAnsi="Tahoma" w:cs="Tahoma"/>
          <w:szCs w:val="24"/>
        </w:rPr>
        <w:t>omas was 33,6%; Hematomatous volume &lt; 30 cm</w:t>
      </w:r>
      <w:r w:rsidRPr="00B90058">
        <w:rPr>
          <w:rFonts w:ascii="Tahoma" w:hAnsi="Tahoma" w:cs="Tahoma"/>
          <w:szCs w:val="24"/>
          <w:vertAlign w:val="superscript"/>
        </w:rPr>
        <w:t>3</w:t>
      </w:r>
      <w:r w:rsidRPr="00B90058">
        <w:rPr>
          <w:rFonts w:ascii="Tahoma" w:hAnsi="Tahoma" w:cs="Tahoma"/>
          <w:szCs w:val="24"/>
        </w:rPr>
        <w:t xml:space="preserve"> was 51,7%</w:t>
      </w:r>
      <w:r w:rsidRPr="00B90058">
        <w:rPr>
          <w:rStyle w:val="NormalWeb"/>
          <w:rFonts w:ascii="Tahoma" w:hAnsi="Tahoma" w:cs="Tahoma"/>
          <w:b/>
          <w:bCs/>
          <w:i/>
          <w:iCs/>
          <w:szCs w:val="24"/>
          <w:shd w:val="clear" w:color="auto" w:fill="FFFFFF"/>
        </w:rPr>
        <w:t xml:space="preserve"> </w:t>
      </w:r>
      <w:r w:rsidRPr="00B90058">
        <w:rPr>
          <w:rFonts w:ascii="Tahoma" w:hAnsi="Tahoma" w:cs="Tahoma"/>
          <w:bCs/>
          <w:szCs w:val="24"/>
        </w:rPr>
        <w:t>Intraventricular</w:t>
      </w:r>
      <w:r w:rsidRPr="00B90058">
        <w:rPr>
          <w:rFonts w:ascii="Tahoma" w:hAnsi="Tahoma" w:cs="Tahoma"/>
          <w:szCs w:val="24"/>
        </w:rPr>
        <w:t> </w:t>
      </w:r>
      <w:r w:rsidRPr="00B90058">
        <w:rPr>
          <w:rFonts w:ascii="Tahoma" w:hAnsi="Tahoma" w:cs="Tahoma"/>
          <w:szCs w:val="24"/>
          <w:shd w:val="clear" w:color="auto" w:fill="FFFFFF"/>
        </w:rPr>
        <w:t>extension of</w:t>
      </w:r>
      <w:r w:rsidRPr="00B90058">
        <w:rPr>
          <w:rFonts w:ascii="Tahoma" w:hAnsi="Tahoma" w:cs="Tahoma"/>
          <w:szCs w:val="24"/>
        </w:rPr>
        <w:t> </w:t>
      </w:r>
      <w:r w:rsidRPr="00B90058">
        <w:rPr>
          <w:rFonts w:ascii="Tahoma" w:hAnsi="Tahoma" w:cs="Tahoma"/>
          <w:bCs/>
          <w:szCs w:val="24"/>
        </w:rPr>
        <w:t>hemorrhages</w:t>
      </w:r>
      <w:r w:rsidRPr="00B90058">
        <w:rPr>
          <w:rFonts w:ascii="Tahoma" w:hAnsi="Tahoma" w:cs="Tahoma"/>
          <w:szCs w:val="24"/>
        </w:rPr>
        <w:t> was 49,6%. The mortality rate was 43,8%.</w:t>
      </w:r>
    </w:p>
    <w:p w:rsidR="00B90058" w:rsidRPr="00B90058" w:rsidRDefault="00B90058" w:rsidP="00B90058">
      <w:pPr>
        <w:spacing w:line="276" w:lineRule="auto"/>
        <w:ind w:firstLine="360"/>
        <w:contextualSpacing/>
        <w:jc w:val="both"/>
        <w:rPr>
          <w:rFonts w:ascii="Tahoma" w:hAnsi="Tahoma" w:cs="Tahoma"/>
          <w:szCs w:val="24"/>
        </w:rPr>
      </w:pPr>
      <w:r w:rsidRPr="00B90058">
        <w:rPr>
          <w:rFonts w:ascii="Tahoma" w:hAnsi="Tahoma" w:cs="Tahoma"/>
          <w:b/>
          <w:szCs w:val="24"/>
        </w:rPr>
        <w:t>Conclusions</w:t>
      </w:r>
      <w:r w:rsidRPr="00B90058">
        <w:rPr>
          <w:rFonts w:ascii="Tahoma" w:hAnsi="Tahoma" w:cs="Tahoma"/>
          <w:szCs w:val="24"/>
        </w:rPr>
        <w:t>: A research on 137 cases of acute hemorrhagic stroke in Yen Bai provincial general hospitals showed that the disease tends to be occurred in younger age groups than those of other areas and male dominance. The clinical entity was moderate to severe degree in the majority of cases. The mortality rate was high.</w:t>
      </w:r>
    </w:p>
    <w:p w:rsidR="00B90058" w:rsidRPr="00B90058" w:rsidRDefault="00B90058" w:rsidP="00B90058">
      <w:pPr>
        <w:spacing w:line="276" w:lineRule="auto"/>
        <w:ind w:firstLine="360"/>
        <w:contextualSpacing/>
        <w:jc w:val="both"/>
        <w:rPr>
          <w:rFonts w:ascii="Tahoma" w:hAnsi="Tahoma" w:cs="Tahoma"/>
          <w:szCs w:val="24"/>
        </w:rPr>
      </w:pPr>
      <w:r w:rsidRPr="00B90058">
        <w:rPr>
          <w:rFonts w:ascii="Tahoma" w:hAnsi="Tahoma" w:cs="Tahoma"/>
          <w:b/>
          <w:i/>
          <w:szCs w:val="24"/>
        </w:rPr>
        <w:t>Keywords:</w:t>
      </w:r>
      <w:r w:rsidRPr="00B90058">
        <w:rPr>
          <w:rFonts w:ascii="Tahoma" w:hAnsi="Tahoma" w:cs="Tahoma"/>
          <w:szCs w:val="24"/>
        </w:rPr>
        <w:t xml:space="preserve"> hemorrhagic strokes, clinical, neuroimaging, outcome </w:t>
      </w:r>
    </w:p>
    <w:p w:rsidR="002153BD" w:rsidRDefault="002153BD"/>
    <w:sectPr w:rsidR="002153BD" w:rsidSect="00B90058">
      <w:pgSz w:w="11906" w:h="16838"/>
      <w:pgMar w:top="810" w:right="926"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D8" w:rsidRDefault="00C13AD8" w:rsidP="00B90058">
      <w:r>
        <w:separator/>
      </w:r>
    </w:p>
  </w:endnote>
  <w:endnote w:type="continuationSeparator" w:id="0">
    <w:p w:rsidR="00C13AD8" w:rsidRDefault="00C13AD8" w:rsidP="00B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D8" w:rsidRDefault="00C13AD8" w:rsidP="00B90058">
      <w:r>
        <w:separator/>
      </w:r>
    </w:p>
  </w:footnote>
  <w:footnote w:type="continuationSeparator" w:id="0">
    <w:p w:rsidR="00C13AD8" w:rsidRDefault="00C13AD8" w:rsidP="00B90058">
      <w:r>
        <w:continuationSeparator/>
      </w:r>
    </w:p>
  </w:footnote>
  <w:footnote w:id="1">
    <w:p w:rsidR="00B90058" w:rsidRDefault="00B90058" w:rsidP="00B90058">
      <w:pPr>
        <w:contextual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9B7"/>
    <w:multiLevelType w:val="hybridMultilevel"/>
    <w:tmpl w:val="A8D46282"/>
    <w:lvl w:ilvl="0" w:tplc="59907284">
      <w:numFmt w:val="bullet"/>
      <w:lvlText w:val="-"/>
      <w:lvlJc w:val="left"/>
      <w:pPr>
        <w:ind w:left="600" w:hanging="360"/>
      </w:pPr>
      <w:rPr>
        <w:rFonts w:ascii="Times New Roman" w:eastAsia="Times New Roman" w:hAnsi="Times New Roman" w:cs="Times New Roma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39"/>
    <w:rsid w:val="002153BD"/>
    <w:rsid w:val="00B90058"/>
    <w:rsid w:val="00C13AD8"/>
    <w:rsid w:val="00EA19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AF59-A85A-481D-98EC-C9D18532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5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B9005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B90058"/>
    <w:rPr>
      <w:rFonts w:ascii=".VnTime" w:eastAsia="Times New Roman" w:hAnsi=".VnTime" w:cs="Times New Roman"/>
      <w:sz w:val="20"/>
      <w:szCs w:val="20"/>
      <w:lang w:val="en-US"/>
    </w:rPr>
  </w:style>
  <w:style w:type="character" w:customStyle="1" w:styleId="FootnoteTextChar2">
    <w:name w:val="Footnote Text Char2"/>
    <w:aliases w:val="footnote text Char1,single space Char1,fn Char"/>
    <w:link w:val="FootnoteText"/>
    <w:uiPriority w:val="99"/>
    <w:semiHidden/>
    <w:locked/>
    <w:rsid w:val="00B9005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uiPriority w:val="99"/>
    <w:semiHidden/>
    <w:rsid w:val="00B90058"/>
    <w:rPr>
      <w:vertAlign w:val="superscript"/>
    </w:rPr>
  </w:style>
  <w:style w:type="paragraph" w:styleId="NormalWeb">
    <w:name w:val="Normal (Web)"/>
    <w:basedOn w:val="Normal"/>
    <w:unhideWhenUsed/>
    <w:rsid w:val="00B90058"/>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2015-08-20T02:49:00Z</dcterms:created>
  <dcterms:modified xsi:type="dcterms:W3CDTF">2015-08-20T02:50:00Z</dcterms:modified>
</cp:coreProperties>
</file>